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BC3A" w14:textId="77777777" w:rsidR="00D0387D" w:rsidRDefault="00D0387D" w:rsidP="006B36FE"/>
    <w:p w14:paraId="44FCA6E1" w14:textId="77777777" w:rsidR="0034497B" w:rsidRDefault="0034497B" w:rsidP="006B36FE"/>
    <w:p w14:paraId="2B9AED37" w14:textId="7BB679B1" w:rsidR="0034497B" w:rsidRDefault="00F71F99" w:rsidP="006B36FE">
      <w:r>
        <w:rPr>
          <w:noProof/>
        </w:rPr>
        <mc:AlternateContent>
          <mc:Choice Requires="wps">
            <w:drawing>
              <wp:anchor distT="0" distB="0" distL="114300" distR="114300" simplePos="0" relativeHeight="251655168" behindDoc="1" locked="0" layoutInCell="0" allowOverlap="1" wp14:anchorId="76CF37FF" wp14:editId="627348A3">
                <wp:simplePos x="0" y="0"/>
                <wp:positionH relativeFrom="page">
                  <wp:posOffset>-367030</wp:posOffset>
                </wp:positionH>
                <wp:positionV relativeFrom="topMargin">
                  <wp:posOffset>2188845</wp:posOffset>
                </wp:positionV>
                <wp:extent cx="7927975" cy="2038350"/>
                <wp:effectExtent l="0" t="0" r="0" b="0"/>
                <wp:wrapNone/>
                <wp:docPr id="675577432" name="Rektange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2038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w16du="http://schemas.microsoft.com/office/word/2023/wordml/word16du">
            <w:pict>
              <v:rect w14:anchorId="62C686BE" id="Rektangel 13" o:spid="_x0000_s1026" style="position:absolute;margin-left:-28.9pt;margin-top:172.35pt;width:624.25pt;height:16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" o:allowincell="f" fillcolor="#900 [3204]" strokecolor="#900 [3204]">
                <w10:wrap anchorx="page" anchory="margin"/>
              </v:rect>
            </w:pict>
          </mc:Fallback>
        </mc:AlternateContent>
      </w:r>
    </w:p>
    <w:p w14:paraId="718B2AE6" w14:textId="77777777" w:rsidR="0034497B" w:rsidRDefault="0034497B" w:rsidP="006B36FE"/>
    <w:p w14:paraId="02F9A42F" w14:textId="66E76676" w:rsidR="0034497B" w:rsidRDefault="00F71F9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pPr>
      <w:r>
        <w:rPr>
          <w:noProof/>
        </w:rPr>
        <mc:AlternateContent>
          <mc:Choice Requires="wps">
            <w:drawing>
              <wp:anchor distT="0" distB="0" distL="114300" distR="114300" simplePos="0" relativeHeight="251657216" behindDoc="0" locked="0" layoutInCell="1" allowOverlap="1" wp14:anchorId="1AD60F18" wp14:editId="01103C56">
                <wp:simplePos x="0" y="0"/>
                <wp:positionH relativeFrom="column">
                  <wp:posOffset>-795020</wp:posOffset>
                </wp:positionH>
                <wp:positionV relativeFrom="paragraph">
                  <wp:posOffset>762000</wp:posOffset>
                </wp:positionV>
                <wp:extent cx="6330315" cy="1403350"/>
                <wp:effectExtent l="0" t="0" r="0" b="0"/>
                <wp:wrapNone/>
                <wp:docPr id="1245465208"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1403350"/>
                        </a:xfrm>
                        <a:prstGeom prst="rect">
                          <a:avLst/>
                        </a:prstGeom>
                        <a:solidFill>
                          <a:srgbClr val="990000"/>
                        </a:solidFill>
                        <a:ln>
                          <a:noFill/>
                        </a:ln>
                      </wps:spPr>
                      <wps:txbx>
                        <w:txbxContent>
                          <w:p w14:paraId="42ECF528" w14:textId="00AE5B21" w:rsidR="006D660D" w:rsidRPr="00F135F8" w:rsidRDefault="006D4E45" w:rsidP="006A42F3">
                            <w:pPr>
                              <w:spacing w:line="240" w:lineRule="auto"/>
                              <w:jc w:val="right"/>
                              <w:rPr>
                                <w:rFonts w:ascii="Constantia" w:hAnsi="Constantia"/>
                                <w:sz w:val="52"/>
                                <w:szCs w:val="52"/>
                              </w:rPr>
                            </w:pPr>
                            <w:r w:rsidRPr="00F135F8">
                              <w:rPr>
                                <w:rFonts w:ascii="Constantia" w:hAnsi="Constantia"/>
                                <w:sz w:val="52"/>
                                <w:szCs w:val="52"/>
                              </w:rPr>
                              <w:t>P</w:t>
                            </w:r>
                            <w:r w:rsidR="00B7632E" w:rsidRPr="00F135F8">
                              <w:rPr>
                                <w:rFonts w:ascii="Constantia" w:hAnsi="Constantia"/>
                                <w:sz w:val="52"/>
                                <w:szCs w:val="52"/>
                              </w:rPr>
                              <w:t xml:space="preserve">rincipper for vurdering af </w:t>
                            </w:r>
                            <w:proofErr w:type="spellStart"/>
                            <w:r w:rsidR="00B7632E" w:rsidRPr="00F135F8">
                              <w:rPr>
                                <w:rFonts w:ascii="Constantia" w:hAnsi="Constantia"/>
                                <w:sz w:val="52"/>
                                <w:szCs w:val="52"/>
                              </w:rPr>
                              <w:t>decentralitet</w:t>
                            </w:r>
                            <w:proofErr w:type="spellEnd"/>
                            <w:r w:rsidRPr="00F135F8">
                              <w:rPr>
                                <w:rFonts w:ascii="Constantia" w:hAnsi="Constantia"/>
                                <w:sz w:val="52"/>
                                <w:szCs w:val="52"/>
                              </w:rPr>
                              <w:t xml:space="preserve"> </w:t>
                            </w:r>
                            <w:r w:rsidR="00F135F8" w:rsidRPr="00F135F8">
                              <w:rPr>
                                <w:rFonts w:ascii="Constantia" w:hAnsi="Constantia"/>
                                <w:sz w:val="52"/>
                                <w:szCs w:val="52"/>
                              </w:rPr>
                              <w:t xml:space="preserve">på markederne for </w:t>
                            </w:r>
                            <w:proofErr w:type="spellStart"/>
                            <w:r w:rsidRPr="00F135F8">
                              <w:rPr>
                                <w:rFonts w:ascii="Constantia" w:hAnsi="Constantia"/>
                                <w:sz w:val="52"/>
                                <w:szCs w:val="52"/>
                              </w:rPr>
                              <w:t>kryptoaktiver</w:t>
                            </w:r>
                            <w:proofErr w:type="spellEnd"/>
                            <w:r w:rsidR="00B7632E" w:rsidRPr="00F135F8">
                              <w:rPr>
                                <w:rFonts w:ascii="Constantia" w:hAnsi="Constantia"/>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D60F18" id="_x0000_t202" coordsize="21600,21600" o:spt="202" path="m,l,21600r21600,l21600,xe">
                <v:stroke joinstyle="miter"/>
                <v:path gradientshapeok="t" o:connecttype="rect"/>
              </v:shapetype>
              <v:shape id="Tekstfelt 12" o:spid="_x0000_s1026" type="#_x0000_t202" style="position:absolute;margin-left:-62.6pt;margin-top:60pt;width:498.4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" fillcolor="#900" stroked="f">
                <v:textbox>
                  <w:txbxContent>
                    <w:p w14:paraId="42ECF528" w14:textId="00AE5B21" w:rsidR="006D660D" w:rsidRPr="00F135F8" w:rsidRDefault="006D4E45" w:rsidP="006A42F3">
                      <w:pPr>
                        <w:spacing w:line="240" w:lineRule="auto"/>
                        <w:jc w:val="right"/>
                        <w:rPr>
                          <w:rFonts w:ascii="Constantia" w:hAnsi="Constantia"/>
                          <w:sz w:val="52"/>
                          <w:szCs w:val="52"/>
                        </w:rPr>
                      </w:pPr>
                      <w:r w:rsidRPr="00F135F8">
                        <w:rPr>
                          <w:rFonts w:ascii="Constantia" w:hAnsi="Constantia"/>
                          <w:sz w:val="52"/>
                          <w:szCs w:val="52"/>
                        </w:rPr>
                        <w:t>P</w:t>
                      </w:r>
                      <w:r w:rsidR="00B7632E" w:rsidRPr="00F135F8">
                        <w:rPr>
                          <w:rFonts w:ascii="Constantia" w:hAnsi="Constantia"/>
                          <w:sz w:val="52"/>
                          <w:szCs w:val="52"/>
                        </w:rPr>
                        <w:t>rincipper for vurdering af decentralitet</w:t>
                      </w:r>
                      <w:r w:rsidRPr="00F135F8">
                        <w:rPr>
                          <w:rFonts w:ascii="Constantia" w:hAnsi="Constantia"/>
                          <w:sz w:val="52"/>
                          <w:szCs w:val="52"/>
                        </w:rPr>
                        <w:t xml:space="preserve"> </w:t>
                      </w:r>
                      <w:r w:rsidR="00F135F8" w:rsidRPr="00F135F8">
                        <w:rPr>
                          <w:rFonts w:ascii="Constantia" w:hAnsi="Constantia"/>
                          <w:sz w:val="52"/>
                          <w:szCs w:val="52"/>
                        </w:rPr>
                        <w:t xml:space="preserve">på markederne for </w:t>
                      </w:r>
                      <w:r w:rsidRPr="00F135F8">
                        <w:rPr>
                          <w:rFonts w:ascii="Constantia" w:hAnsi="Constantia"/>
                          <w:sz w:val="52"/>
                          <w:szCs w:val="52"/>
                        </w:rPr>
                        <w:t>kryptoaktiver</w:t>
                      </w:r>
                      <w:r w:rsidR="00B7632E" w:rsidRPr="00F135F8">
                        <w:rPr>
                          <w:rFonts w:ascii="Constantia" w:hAnsi="Constantia"/>
                          <w:sz w:val="52"/>
                          <w:szCs w:val="52"/>
                        </w:rPr>
                        <w:t xml:space="preserve"> </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EBA616A" wp14:editId="64606407">
                <wp:simplePos x="0" y="0"/>
                <wp:positionH relativeFrom="column">
                  <wp:posOffset>3644265</wp:posOffset>
                </wp:positionH>
                <wp:positionV relativeFrom="paragraph">
                  <wp:posOffset>979170</wp:posOffset>
                </wp:positionV>
                <wp:extent cx="1847850" cy="400050"/>
                <wp:effectExtent l="0" t="0" r="0" b="0"/>
                <wp:wrapNone/>
                <wp:docPr id="294077144"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0050"/>
                        </a:xfrm>
                        <a:prstGeom prst="rect">
                          <a:avLst/>
                        </a:prstGeom>
                        <a:solidFill>
                          <a:srgbClr val="990000"/>
                        </a:solidFill>
                        <a:ln>
                          <a:noFill/>
                        </a:ln>
                      </wps:spPr>
                      <wps:txbx>
                        <w:txbxContent>
                          <w:p w14:paraId="0742E72D" w14:textId="77777777" w:rsidR="006D660D" w:rsidRPr="0034497B" w:rsidRDefault="006D660D" w:rsidP="006A42F3">
                            <w:pPr>
                              <w:spacing w:line="240" w:lineRule="auto"/>
                              <w:jc w:val="right"/>
                              <w:rPr>
                                <w:rFonts w:ascii="Constantia" w:hAnsi="Constantia"/>
                                <w:color w:val="FF9933"/>
                                <w:sz w:val="36"/>
                                <w:szCs w:val="36"/>
                              </w:rPr>
                            </w:pPr>
                            <w:bookmarkStart w:id="0" w:name="type_title"/>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BA616A" id="Tekstfelt 11" o:spid="_x0000_s1027" type="#_x0000_t202" style="position:absolute;margin-left:286.95pt;margin-top:77.1pt;width:145.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" fillcolor="#900" stroked="f">
                <v:textbox>
                  <w:txbxContent>
                    <w:p w14:paraId="0742E72D" w14:textId="77777777" w:rsidR="006D660D" w:rsidRPr="0034497B" w:rsidRDefault="006D660D" w:rsidP="006A42F3">
                      <w:pPr>
                        <w:spacing w:line="240" w:lineRule="auto"/>
                        <w:jc w:val="right"/>
                        <w:rPr>
                          <w:rFonts w:ascii="Constantia" w:hAnsi="Constantia"/>
                          <w:color w:val="FF9933"/>
                          <w:sz w:val="36"/>
                          <w:szCs w:val="36"/>
                        </w:rPr>
                      </w:pPr>
                      <w:bookmarkStart w:id="1" w:name="type_title"/>
                      <w:bookmarkEnd w:id="1"/>
                    </w:p>
                  </w:txbxContent>
                </v:textbox>
              </v:shape>
            </w:pict>
          </mc:Fallback>
        </mc:AlternateContent>
      </w:r>
      <w:r w:rsidR="0034497B">
        <w:br w:type="page"/>
      </w:r>
    </w:p>
    <w:p w14:paraId="3E1C3E78" w14:textId="77777777" w:rsidR="0034497B" w:rsidRPr="0034497B" w:rsidRDefault="0034497B" w:rsidP="0034497B">
      <w:pPr>
        <w:spacing w:line="240" w:lineRule="auto"/>
        <w:rPr>
          <w:rFonts w:ascii="Constantia" w:hAnsi="Constantia"/>
          <w:b/>
          <w:color w:val="990000"/>
          <w:sz w:val="32"/>
          <w:szCs w:val="32"/>
        </w:rPr>
      </w:pPr>
      <w:r w:rsidRPr="0034497B">
        <w:rPr>
          <w:rFonts w:ascii="Constantia" w:hAnsi="Constantia"/>
          <w:b/>
          <w:color w:val="990000"/>
          <w:sz w:val="32"/>
          <w:szCs w:val="32"/>
        </w:rPr>
        <w:lastRenderedPageBreak/>
        <w:t>Indholdsfortegnelse</w:t>
      </w:r>
    </w:p>
    <w:p w14:paraId="5C955F8E" w14:textId="77777777" w:rsidR="0034497B" w:rsidRDefault="0034497B" w:rsidP="006B36FE"/>
    <w:p w14:paraId="5ABD6779" w14:textId="7DB923EE" w:rsidR="00514F43" w:rsidRDefault="005965D9">
      <w:pPr>
        <w:pStyle w:val="Indholdsfortegnelse1"/>
        <w:rPr>
          <w:rFonts w:asciiTheme="minorHAnsi" w:eastAsiaTheme="minorEastAsia" w:hAnsiTheme="minorHAnsi" w:cstheme="minorBidi"/>
          <w:kern w:val="2"/>
          <w:sz w:val="24"/>
          <w:szCs w:val="24"/>
          <w:lang w:eastAsia="da-DK"/>
          <w14:ligatures w14:val="standardContextual"/>
        </w:rPr>
      </w:pPr>
      <w:r>
        <w:rPr>
          <w:noProof w:val="0"/>
        </w:rPr>
        <w:fldChar w:fldCharType="begin"/>
      </w:r>
      <w:r>
        <w:instrText xml:space="preserve"> TOC \o "1-2" \h \z \u </w:instrText>
      </w:r>
      <w:r>
        <w:rPr>
          <w:noProof w:val="0"/>
        </w:rPr>
        <w:fldChar w:fldCharType="separate"/>
      </w:r>
      <w:hyperlink w:anchor="_Toc170130136" w:history="1">
        <w:r w:rsidR="00514F43" w:rsidRPr="006A5A90">
          <w:rPr>
            <w:rStyle w:val="Hyperlink"/>
          </w:rPr>
          <w:t>1. Indledning</w:t>
        </w:r>
        <w:r w:rsidR="00514F43">
          <w:rPr>
            <w:webHidden/>
          </w:rPr>
          <w:tab/>
        </w:r>
        <w:r w:rsidR="00514F43">
          <w:rPr>
            <w:webHidden/>
          </w:rPr>
          <w:fldChar w:fldCharType="begin"/>
        </w:r>
        <w:r w:rsidR="00514F43">
          <w:rPr>
            <w:webHidden/>
          </w:rPr>
          <w:instrText xml:space="preserve"> PAGEREF _Toc170130136 \h </w:instrText>
        </w:r>
        <w:r w:rsidR="00514F43">
          <w:rPr>
            <w:webHidden/>
          </w:rPr>
        </w:r>
        <w:r w:rsidR="00514F43">
          <w:rPr>
            <w:webHidden/>
          </w:rPr>
          <w:fldChar w:fldCharType="separate"/>
        </w:r>
        <w:r w:rsidR="00514F43">
          <w:rPr>
            <w:webHidden/>
          </w:rPr>
          <w:t>3</w:t>
        </w:r>
        <w:r w:rsidR="00514F43">
          <w:rPr>
            <w:webHidden/>
          </w:rPr>
          <w:fldChar w:fldCharType="end"/>
        </w:r>
      </w:hyperlink>
    </w:p>
    <w:p w14:paraId="2F37758F" w14:textId="582F8C34" w:rsidR="00514F43" w:rsidRDefault="00000000">
      <w:pPr>
        <w:pStyle w:val="Indholdsfortegnelse1"/>
        <w:rPr>
          <w:rFonts w:asciiTheme="minorHAnsi" w:eastAsiaTheme="minorEastAsia" w:hAnsiTheme="minorHAnsi" w:cstheme="minorBidi"/>
          <w:kern w:val="2"/>
          <w:sz w:val="24"/>
          <w:szCs w:val="24"/>
          <w:lang w:eastAsia="da-DK"/>
          <w14:ligatures w14:val="standardContextual"/>
        </w:rPr>
      </w:pPr>
      <w:hyperlink w:anchor="_Toc170130137" w:history="1">
        <w:r w:rsidR="00514F43" w:rsidRPr="006A5A90">
          <w:rPr>
            <w:rStyle w:val="Hyperlink"/>
          </w:rPr>
          <w:t>2. Baggrund</w:t>
        </w:r>
        <w:r w:rsidR="00514F43">
          <w:rPr>
            <w:webHidden/>
          </w:rPr>
          <w:tab/>
        </w:r>
        <w:r w:rsidR="00514F43">
          <w:rPr>
            <w:webHidden/>
          </w:rPr>
          <w:fldChar w:fldCharType="begin"/>
        </w:r>
        <w:r w:rsidR="00514F43">
          <w:rPr>
            <w:webHidden/>
          </w:rPr>
          <w:instrText xml:space="preserve"> PAGEREF _Toc170130137 \h </w:instrText>
        </w:r>
        <w:r w:rsidR="00514F43">
          <w:rPr>
            <w:webHidden/>
          </w:rPr>
        </w:r>
        <w:r w:rsidR="00514F43">
          <w:rPr>
            <w:webHidden/>
          </w:rPr>
          <w:fldChar w:fldCharType="separate"/>
        </w:r>
        <w:r w:rsidR="00514F43">
          <w:rPr>
            <w:webHidden/>
          </w:rPr>
          <w:t>5</w:t>
        </w:r>
        <w:r w:rsidR="00514F43">
          <w:rPr>
            <w:webHidden/>
          </w:rPr>
          <w:fldChar w:fldCharType="end"/>
        </w:r>
      </w:hyperlink>
    </w:p>
    <w:p w14:paraId="7DA5B84D" w14:textId="313B5D3C" w:rsidR="00514F43" w:rsidRDefault="00000000">
      <w:pPr>
        <w:pStyle w:val="Indholdsfortegnelse1"/>
        <w:rPr>
          <w:rFonts w:asciiTheme="minorHAnsi" w:eastAsiaTheme="minorEastAsia" w:hAnsiTheme="minorHAnsi" w:cstheme="minorBidi"/>
          <w:kern w:val="2"/>
          <w:sz w:val="24"/>
          <w:szCs w:val="24"/>
          <w:lang w:eastAsia="da-DK"/>
          <w14:ligatures w14:val="standardContextual"/>
        </w:rPr>
      </w:pPr>
      <w:hyperlink w:anchor="_Toc170130138" w:history="1">
        <w:r w:rsidR="00514F43" w:rsidRPr="006A5A90">
          <w:rPr>
            <w:rStyle w:val="Hyperlink"/>
          </w:rPr>
          <w:t>3. Arkitekturen bag decentral finans (DeFi)</w:t>
        </w:r>
        <w:r w:rsidR="00514F43">
          <w:rPr>
            <w:webHidden/>
          </w:rPr>
          <w:tab/>
        </w:r>
        <w:r w:rsidR="00514F43">
          <w:rPr>
            <w:webHidden/>
          </w:rPr>
          <w:fldChar w:fldCharType="begin"/>
        </w:r>
        <w:r w:rsidR="00514F43">
          <w:rPr>
            <w:webHidden/>
          </w:rPr>
          <w:instrText xml:space="preserve"> PAGEREF _Toc170130138 \h </w:instrText>
        </w:r>
        <w:r w:rsidR="00514F43">
          <w:rPr>
            <w:webHidden/>
          </w:rPr>
        </w:r>
        <w:r w:rsidR="00514F43">
          <w:rPr>
            <w:webHidden/>
          </w:rPr>
          <w:fldChar w:fldCharType="separate"/>
        </w:r>
        <w:r w:rsidR="00514F43">
          <w:rPr>
            <w:webHidden/>
          </w:rPr>
          <w:t>5</w:t>
        </w:r>
        <w:r w:rsidR="00514F43">
          <w:rPr>
            <w:webHidden/>
          </w:rPr>
          <w:fldChar w:fldCharType="end"/>
        </w:r>
      </w:hyperlink>
    </w:p>
    <w:p w14:paraId="599C5B81" w14:textId="28E98773" w:rsidR="00514F43" w:rsidRDefault="00000000">
      <w:pPr>
        <w:pStyle w:val="Indholdsfortegnelse1"/>
        <w:rPr>
          <w:rFonts w:asciiTheme="minorHAnsi" w:eastAsiaTheme="minorEastAsia" w:hAnsiTheme="minorHAnsi" w:cstheme="minorBidi"/>
          <w:kern w:val="2"/>
          <w:sz w:val="24"/>
          <w:szCs w:val="24"/>
          <w:lang w:eastAsia="da-DK"/>
          <w14:ligatures w14:val="standardContextual"/>
        </w:rPr>
      </w:pPr>
      <w:hyperlink w:anchor="_Toc170130139" w:history="1">
        <w:r w:rsidR="00514F43" w:rsidRPr="006A5A90">
          <w:rPr>
            <w:rStyle w:val="Hyperlink"/>
          </w:rPr>
          <w:t>4. Finanstilsynets tilgang til decentralitet</w:t>
        </w:r>
        <w:r w:rsidR="00514F43">
          <w:rPr>
            <w:webHidden/>
          </w:rPr>
          <w:tab/>
        </w:r>
        <w:r w:rsidR="00514F43">
          <w:rPr>
            <w:webHidden/>
          </w:rPr>
          <w:fldChar w:fldCharType="begin"/>
        </w:r>
        <w:r w:rsidR="00514F43">
          <w:rPr>
            <w:webHidden/>
          </w:rPr>
          <w:instrText xml:space="preserve"> PAGEREF _Toc170130139 \h </w:instrText>
        </w:r>
        <w:r w:rsidR="00514F43">
          <w:rPr>
            <w:webHidden/>
          </w:rPr>
        </w:r>
        <w:r w:rsidR="00514F43">
          <w:rPr>
            <w:webHidden/>
          </w:rPr>
          <w:fldChar w:fldCharType="separate"/>
        </w:r>
        <w:r w:rsidR="00514F43">
          <w:rPr>
            <w:webHidden/>
          </w:rPr>
          <w:t>6</w:t>
        </w:r>
        <w:r w:rsidR="00514F43">
          <w:rPr>
            <w:webHidden/>
          </w:rPr>
          <w:fldChar w:fldCharType="end"/>
        </w:r>
      </w:hyperlink>
    </w:p>
    <w:p w14:paraId="5E6F55AE" w14:textId="5B8363EB"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0" w:history="1">
        <w:r w:rsidR="00514F43" w:rsidRPr="006A5A90">
          <w:rPr>
            <w:rStyle w:val="Hyperlink"/>
          </w:rPr>
          <w:t>4.1. Ikke al DeFI er decentralt udbudt</w:t>
        </w:r>
        <w:r w:rsidR="00514F43">
          <w:rPr>
            <w:webHidden/>
          </w:rPr>
          <w:tab/>
        </w:r>
        <w:r w:rsidR="00514F43">
          <w:rPr>
            <w:webHidden/>
          </w:rPr>
          <w:fldChar w:fldCharType="begin"/>
        </w:r>
        <w:r w:rsidR="00514F43">
          <w:rPr>
            <w:webHidden/>
          </w:rPr>
          <w:instrText xml:space="preserve"> PAGEREF _Toc170130140 \h </w:instrText>
        </w:r>
        <w:r w:rsidR="00514F43">
          <w:rPr>
            <w:webHidden/>
          </w:rPr>
        </w:r>
        <w:r w:rsidR="00514F43">
          <w:rPr>
            <w:webHidden/>
          </w:rPr>
          <w:fldChar w:fldCharType="separate"/>
        </w:r>
        <w:r w:rsidR="00514F43">
          <w:rPr>
            <w:webHidden/>
          </w:rPr>
          <w:t>7</w:t>
        </w:r>
        <w:r w:rsidR="00514F43">
          <w:rPr>
            <w:webHidden/>
          </w:rPr>
          <w:fldChar w:fldCharType="end"/>
        </w:r>
      </w:hyperlink>
    </w:p>
    <w:p w14:paraId="7036CAAD" w14:textId="7246013D"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1" w:history="1">
        <w:r w:rsidR="00514F43" w:rsidRPr="006A5A90">
          <w:rPr>
            <w:rStyle w:val="Hyperlink"/>
          </w:rPr>
          <w:t>4.2. Eksempel på reguleret tilgængeliggørelse af decentral tjeneste</w:t>
        </w:r>
        <w:r w:rsidR="00514F43">
          <w:rPr>
            <w:webHidden/>
          </w:rPr>
          <w:tab/>
        </w:r>
        <w:r w:rsidR="00514F43">
          <w:rPr>
            <w:webHidden/>
          </w:rPr>
          <w:fldChar w:fldCharType="begin"/>
        </w:r>
        <w:r w:rsidR="00514F43">
          <w:rPr>
            <w:webHidden/>
          </w:rPr>
          <w:instrText xml:space="preserve"> PAGEREF _Toc170130141 \h </w:instrText>
        </w:r>
        <w:r w:rsidR="00514F43">
          <w:rPr>
            <w:webHidden/>
          </w:rPr>
        </w:r>
        <w:r w:rsidR="00514F43">
          <w:rPr>
            <w:webHidden/>
          </w:rPr>
          <w:fldChar w:fldCharType="separate"/>
        </w:r>
        <w:r w:rsidR="00514F43">
          <w:rPr>
            <w:webHidden/>
          </w:rPr>
          <w:t>8</w:t>
        </w:r>
        <w:r w:rsidR="00514F43">
          <w:rPr>
            <w:webHidden/>
          </w:rPr>
          <w:fldChar w:fldCharType="end"/>
        </w:r>
      </w:hyperlink>
    </w:p>
    <w:p w14:paraId="010A4038" w14:textId="6DA71E7B" w:rsidR="00514F43" w:rsidRDefault="00000000">
      <w:pPr>
        <w:pStyle w:val="Indholdsfortegnelse1"/>
        <w:rPr>
          <w:rFonts w:asciiTheme="minorHAnsi" w:eastAsiaTheme="minorEastAsia" w:hAnsiTheme="minorHAnsi" w:cstheme="minorBidi"/>
          <w:kern w:val="2"/>
          <w:sz w:val="24"/>
          <w:szCs w:val="24"/>
          <w:lang w:eastAsia="da-DK"/>
          <w14:ligatures w14:val="standardContextual"/>
        </w:rPr>
      </w:pPr>
      <w:hyperlink w:anchor="_Toc170130142" w:history="1">
        <w:r w:rsidR="00514F43" w:rsidRPr="006A5A90">
          <w:rPr>
            <w:rStyle w:val="Hyperlink"/>
          </w:rPr>
          <w:t>5. Principper for vurdering af decentralitet</w:t>
        </w:r>
        <w:r w:rsidR="00514F43">
          <w:rPr>
            <w:webHidden/>
          </w:rPr>
          <w:tab/>
        </w:r>
        <w:r w:rsidR="00514F43">
          <w:rPr>
            <w:webHidden/>
          </w:rPr>
          <w:fldChar w:fldCharType="begin"/>
        </w:r>
        <w:r w:rsidR="00514F43">
          <w:rPr>
            <w:webHidden/>
          </w:rPr>
          <w:instrText xml:space="preserve"> PAGEREF _Toc170130142 \h </w:instrText>
        </w:r>
        <w:r w:rsidR="00514F43">
          <w:rPr>
            <w:webHidden/>
          </w:rPr>
        </w:r>
        <w:r w:rsidR="00514F43">
          <w:rPr>
            <w:webHidden/>
          </w:rPr>
          <w:fldChar w:fldCharType="separate"/>
        </w:r>
        <w:r w:rsidR="00514F43">
          <w:rPr>
            <w:webHidden/>
          </w:rPr>
          <w:t>9</w:t>
        </w:r>
        <w:r w:rsidR="00514F43">
          <w:rPr>
            <w:webHidden/>
          </w:rPr>
          <w:fldChar w:fldCharType="end"/>
        </w:r>
      </w:hyperlink>
    </w:p>
    <w:p w14:paraId="014E5115" w14:textId="245DFAD1"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3" w:history="1">
        <w:r w:rsidR="00514F43" w:rsidRPr="006A5A90">
          <w:rPr>
            <w:rStyle w:val="Hyperlink"/>
          </w:rPr>
          <w:t>5.1. MiCA forudsætter et aftaleforhold mellem to retssubjekter</w:t>
        </w:r>
        <w:r w:rsidR="00514F43">
          <w:rPr>
            <w:webHidden/>
          </w:rPr>
          <w:tab/>
        </w:r>
        <w:r w:rsidR="00514F43">
          <w:rPr>
            <w:webHidden/>
          </w:rPr>
          <w:fldChar w:fldCharType="begin"/>
        </w:r>
        <w:r w:rsidR="00514F43">
          <w:rPr>
            <w:webHidden/>
          </w:rPr>
          <w:instrText xml:space="preserve"> PAGEREF _Toc170130143 \h </w:instrText>
        </w:r>
        <w:r w:rsidR="00514F43">
          <w:rPr>
            <w:webHidden/>
          </w:rPr>
        </w:r>
        <w:r w:rsidR="00514F43">
          <w:rPr>
            <w:webHidden/>
          </w:rPr>
          <w:fldChar w:fldCharType="separate"/>
        </w:r>
        <w:r w:rsidR="00514F43">
          <w:rPr>
            <w:webHidden/>
          </w:rPr>
          <w:t>10</w:t>
        </w:r>
        <w:r w:rsidR="00514F43">
          <w:rPr>
            <w:webHidden/>
          </w:rPr>
          <w:fldChar w:fldCharType="end"/>
        </w:r>
      </w:hyperlink>
    </w:p>
    <w:p w14:paraId="3489309A" w14:textId="68B20B71"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4" w:history="1">
        <w:r w:rsidR="00514F43" w:rsidRPr="006A5A90">
          <w:rPr>
            <w:rStyle w:val="Hyperlink"/>
          </w:rPr>
          <w:t>5.2. Teknisk decentralt udbud af regulerede aktiviteter</w:t>
        </w:r>
        <w:r w:rsidR="00514F43">
          <w:rPr>
            <w:webHidden/>
          </w:rPr>
          <w:tab/>
        </w:r>
        <w:r w:rsidR="00514F43">
          <w:rPr>
            <w:webHidden/>
          </w:rPr>
          <w:fldChar w:fldCharType="begin"/>
        </w:r>
        <w:r w:rsidR="00514F43">
          <w:rPr>
            <w:webHidden/>
          </w:rPr>
          <w:instrText xml:space="preserve"> PAGEREF _Toc170130144 \h </w:instrText>
        </w:r>
        <w:r w:rsidR="00514F43">
          <w:rPr>
            <w:webHidden/>
          </w:rPr>
        </w:r>
        <w:r w:rsidR="00514F43">
          <w:rPr>
            <w:webHidden/>
          </w:rPr>
          <w:fldChar w:fldCharType="separate"/>
        </w:r>
        <w:r w:rsidR="00514F43">
          <w:rPr>
            <w:webHidden/>
          </w:rPr>
          <w:t>11</w:t>
        </w:r>
        <w:r w:rsidR="00514F43">
          <w:rPr>
            <w:webHidden/>
          </w:rPr>
          <w:fldChar w:fldCharType="end"/>
        </w:r>
      </w:hyperlink>
    </w:p>
    <w:p w14:paraId="0E1A5C19" w14:textId="49493230"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5" w:history="1">
        <w:r w:rsidR="00514F43" w:rsidRPr="006A5A90">
          <w:rPr>
            <w:rStyle w:val="Hyperlink"/>
          </w:rPr>
          <w:t>5.3. Decentral ledelse af regulerede aktiviteter</w:t>
        </w:r>
        <w:r w:rsidR="00514F43">
          <w:rPr>
            <w:webHidden/>
          </w:rPr>
          <w:tab/>
        </w:r>
        <w:r w:rsidR="00514F43">
          <w:rPr>
            <w:webHidden/>
          </w:rPr>
          <w:fldChar w:fldCharType="begin"/>
        </w:r>
        <w:r w:rsidR="00514F43">
          <w:rPr>
            <w:webHidden/>
          </w:rPr>
          <w:instrText xml:space="preserve"> PAGEREF _Toc170130145 \h </w:instrText>
        </w:r>
        <w:r w:rsidR="00514F43">
          <w:rPr>
            <w:webHidden/>
          </w:rPr>
        </w:r>
        <w:r w:rsidR="00514F43">
          <w:rPr>
            <w:webHidden/>
          </w:rPr>
          <w:fldChar w:fldCharType="separate"/>
        </w:r>
        <w:r w:rsidR="00514F43">
          <w:rPr>
            <w:webHidden/>
          </w:rPr>
          <w:t>17</w:t>
        </w:r>
        <w:r w:rsidR="00514F43">
          <w:rPr>
            <w:webHidden/>
          </w:rPr>
          <w:fldChar w:fldCharType="end"/>
        </w:r>
      </w:hyperlink>
    </w:p>
    <w:p w14:paraId="244BF59A" w14:textId="304B6BFD" w:rsidR="00514F43" w:rsidRDefault="00000000">
      <w:pPr>
        <w:pStyle w:val="Indholdsfortegnelse1"/>
        <w:rPr>
          <w:rFonts w:asciiTheme="minorHAnsi" w:eastAsiaTheme="minorEastAsia" w:hAnsiTheme="minorHAnsi" w:cstheme="minorBidi"/>
          <w:kern w:val="2"/>
          <w:sz w:val="24"/>
          <w:szCs w:val="24"/>
          <w:lang w:eastAsia="da-DK"/>
          <w14:ligatures w14:val="standardContextual"/>
        </w:rPr>
      </w:pPr>
      <w:hyperlink w:anchor="_Toc170130146" w:history="1">
        <w:r w:rsidR="00514F43" w:rsidRPr="006A5A90">
          <w:rPr>
            <w:rStyle w:val="Hyperlink"/>
          </w:rPr>
          <w:t>6. Videre anvendelse og udvikling af principperne</w:t>
        </w:r>
        <w:r w:rsidR="00514F43">
          <w:rPr>
            <w:webHidden/>
          </w:rPr>
          <w:tab/>
        </w:r>
        <w:r w:rsidR="00514F43">
          <w:rPr>
            <w:webHidden/>
          </w:rPr>
          <w:fldChar w:fldCharType="begin"/>
        </w:r>
        <w:r w:rsidR="00514F43">
          <w:rPr>
            <w:webHidden/>
          </w:rPr>
          <w:instrText xml:space="preserve"> PAGEREF _Toc170130146 \h </w:instrText>
        </w:r>
        <w:r w:rsidR="00514F43">
          <w:rPr>
            <w:webHidden/>
          </w:rPr>
        </w:r>
        <w:r w:rsidR="00514F43">
          <w:rPr>
            <w:webHidden/>
          </w:rPr>
          <w:fldChar w:fldCharType="separate"/>
        </w:r>
        <w:r w:rsidR="00514F43">
          <w:rPr>
            <w:webHidden/>
          </w:rPr>
          <w:t>21</w:t>
        </w:r>
        <w:r w:rsidR="00514F43">
          <w:rPr>
            <w:webHidden/>
          </w:rPr>
          <w:fldChar w:fldCharType="end"/>
        </w:r>
      </w:hyperlink>
    </w:p>
    <w:p w14:paraId="1119CDDB" w14:textId="7DEA855D" w:rsidR="00514F43" w:rsidRDefault="00000000">
      <w:pPr>
        <w:pStyle w:val="Indholdsfortegnelse1"/>
        <w:rPr>
          <w:rFonts w:asciiTheme="minorHAnsi" w:eastAsiaTheme="minorEastAsia" w:hAnsiTheme="minorHAnsi" w:cstheme="minorBidi"/>
          <w:kern w:val="2"/>
          <w:sz w:val="24"/>
          <w:szCs w:val="24"/>
          <w:lang w:eastAsia="da-DK"/>
          <w14:ligatures w14:val="standardContextual"/>
        </w:rPr>
      </w:pPr>
      <w:hyperlink w:anchor="_Toc170130147" w:history="1">
        <w:r w:rsidR="00514F43" w:rsidRPr="006A5A90">
          <w:rPr>
            <w:rStyle w:val="Hyperlink"/>
          </w:rPr>
          <w:t>Bilag</w:t>
        </w:r>
        <w:r w:rsidR="00514F43">
          <w:rPr>
            <w:webHidden/>
          </w:rPr>
          <w:tab/>
        </w:r>
        <w:r w:rsidR="00514F43">
          <w:rPr>
            <w:webHidden/>
          </w:rPr>
          <w:fldChar w:fldCharType="begin"/>
        </w:r>
        <w:r w:rsidR="00514F43">
          <w:rPr>
            <w:webHidden/>
          </w:rPr>
          <w:instrText xml:space="preserve"> PAGEREF _Toc170130147 \h </w:instrText>
        </w:r>
        <w:r w:rsidR="00514F43">
          <w:rPr>
            <w:webHidden/>
          </w:rPr>
        </w:r>
        <w:r w:rsidR="00514F43">
          <w:rPr>
            <w:webHidden/>
          </w:rPr>
          <w:fldChar w:fldCharType="separate"/>
        </w:r>
        <w:r w:rsidR="00514F43">
          <w:rPr>
            <w:webHidden/>
          </w:rPr>
          <w:t>22</w:t>
        </w:r>
        <w:r w:rsidR="00514F43">
          <w:rPr>
            <w:webHidden/>
          </w:rPr>
          <w:fldChar w:fldCharType="end"/>
        </w:r>
      </w:hyperlink>
    </w:p>
    <w:p w14:paraId="25FB0F88" w14:textId="69AD47FC"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8" w:history="1">
        <w:r w:rsidR="00514F43" w:rsidRPr="006A5A90">
          <w:rPr>
            <w:rStyle w:val="Hyperlink"/>
          </w:rPr>
          <w:t>Bilag 1 – De tre lag i den konventionelle blockchain</w:t>
        </w:r>
        <w:r w:rsidR="00514F43">
          <w:rPr>
            <w:webHidden/>
          </w:rPr>
          <w:tab/>
        </w:r>
        <w:r w:rsidR="00514F43">
          <w:rPr>
            <w:webHidden/>
          </w:rPr>
          <w:fldChar w:fldCharType="begin"/>
        </w:r>
        <w:r w:rsidR="00514F43">
          <w:rPr>
            <w:webHidden/>
          </w:rPr>
          <w:instrText xml:space="preserve"> PAGEREF _Toc170130148 \h </w:instrText>
        </w:r>
        <w:r w:rsidR="00514F43">
          <w:rPr>
            <w:webHidden/>
          </w:rPr>
        </w:r>
        <w:r w:rsidR="00514F43">
          <w:rPr>
            <w:webHidden/>
          </w:rPr>
          <w:fldChar w:fldCharType="separate"/>
        </w:r>
        <w:r w:rsidR="00514F43">
          <w:rPr>
            <w:webHidden/>
          </w:rPr>
          <w:t>22</w:t>
        </w:r>
        <w:r w:rsidR="00514F43">
          <w:rPr>
            <w:webHidden/>
          </w:rPr>
          <w:fldChar w:fldCharType="end"/>
        </w:r>
      </w:hyperlink>
    </w:p>
    <w:p w14:paraId="2B8FA2BF" w14:textId="7C02F68F" w:rsidR="00514F43" w:rsidRDefault="00000000">
      <w:pPr>
        <w:pStyle w:val="Indholdsfortegnelse2"/>
        <w:rPr>
          <w:rFonts w:asciiTheme="minorHAnsi" w:eastAsiaTheme="minorEastAsia" w:hAnsiTheme="minorHAnsi" w:cstheme="minorBidi"/>
          <w:kern w:val="2"/>
          <w:sz w:val="24"/>
          <w:szCs w:val="24"/>
          <w:lang w:eastAsia="da-DK"/>
          <w14:ligatures w14:val="standardContextual"/>
        </w:rPr>
      </w:pPr>
      <w:hyperlink w:anchor="_Toc170130149" w:history="1">
        <w:r w:rsidR="00514F43" w:rsidRPr="006A5A90">
          <w:rPr>
            <w:rStyle w:val="Hyperlink"/>
          </w:rPr>
          <w:t>Bilag 2 – Kryptoaktiver og de regulerede aktiviteter</w:t>
        </w:r>
        <w:r w:rsidR="00514F43">
          <w:rPr>
            <w:webHidden/>
          </w:rPr>
          <w:tab/>
        </w:r>
        <w:r w:rsidR="00514F43">
          <w:rPr>
            <w:webHidden/>
          </w:rPr>
          <w:fldChar w:fldCharType="begin"/>
        </w:r>
        <w:r w:rsidR="00514F43">
          <w:rPr>
            <w:webHidden/>
          </w:rPr>
          <w:instrText xml:space="preserve"> PAGEREF _Toc170130149 \h </w:instrText>
        </w:r>
        <w:r w:rsidR="00514F43">
          <w:rPr>
            <w:webHidden/>
          </w:rPr>
        </w:r>
        <w:r w:rsidR="00514F43">
          <w:rPr>
            <w:webHidden/>
          </w:rPr>
          <w:fldChar w:fldCharType="separate"/>
        </w:r>
        <w:r w:rsidR="00514F43">
          <w:rPr>
            <w:webHidden/>
          </w:rPr>
          <w:t>25</w:t>
        </w:r>
        <w:r w:rsidR="00514F43">
          <w:rPr>
            <w:webHidden/>
          </w:rPr>
          <w:fldChar w:fldCharType="end"/>
        </w:r>
      </w:hyperlink>
    </w:p>
    <w:p w14:paraId="697FB2E2" w14:textId="40633C69" w:rsidR="00B42350" w:rsidRDefault="005965D9" w:rsidP="00621E8D">
      <w:r>
        <w:rPr>
          <w:b/>
          <w:bCs/>
          <w:noProof/>
        </w:rPr>
        <w:fldChar w:fldCharType="end"/>
      </w:r>
    </w:p>
    <w:p w14:paraId="62FE824F" w14:textId="77777777" w:rsidR="00B42350" w:rsidRDefault="00B42350" w:rsidP="006B36FE"/>
    <w:p w14:paraId="58D9F45A" w14:textId="77777777" w:rsidR="00B42350" w:rsidRDefault="00B42350" w:rsidP="006B36FE"/>
    <w:p w14:paraId="1813C4E8" w14:textId="77777777" w:rsidR="0034497B" w:rsidRDefault="0034497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spacing w:line="240" w:lineRule="auto"/>
        <w:jc w:val="left"/>
        <w:sectPr w:rsidR="0034497B" w:rsidSect="00E66C2B">
          <w:headerReference w:type="default" r:id="rId8"/>
          <w:pgSz w:w="11906" w:h="16838"/>
          <w:pgMar w:top="1701" w:right="1701" w:bottom="1701" w:left="1701" w:header="284" w:footer="709" w:gutter="0"/>
          <w:cols w:space="708"/>
          <w:docGrid w:linePitch="360"/>
        </w:sectPr>
      </w:pPr>
    </w:p>
    <w:p w14:paraId="4975AADC" w14:textId="15E43C1D" w:rsidR="006B36FE" w:rsidRDefault="002939B5" w:rsidP="00E23949">
      <w:pPr>
        <w:pStyle w:val="Overskrift1"/>
      </w:pPr>
      <w:bookmarkStart w:id="1" w:name="artikel_overskrift"/>
      <w:bookmarkStart w:id="2" w:name="aar_overskrift"/>
      <w:bookmarkStart w:id="3" w:name="type_overskrift"/>
      <w:bookmarkStart w:id="4" w:name="_Toc170130136"/>
      <w:bookmarkEnd w:id="1"/>
      <w:bookmarkEnd w:id="2"/>
      <w:bookmarkEnd w:id="3"/>
      <w:r>
        <w:lastRenderedPageBreak/>
        <w:t>1. Indledning</w:t>
      </w:r>
      <w:bookmarkEnd w:id="4"/>
    </w:p>
    <w:p w14:paraId="4C7DFCF7" w14:textId="31ED15E0" w:rsidR="0004540C" w:rsidRDefault="00E32686" w:rsidP="005278B9">
      <w:r>
        <w:t>Formålet med d</w:t>
      </w:r>
      <w:r w:rsidR="005278B9">
        <w:t xml:space="preserve">enne orientering </w:t>
      </w:r>
      <w:r>
        <w:t xml:space="preserve">er </w:t>
      </w:r>
      <w:r w:rsidR="005278B9">
        <w:t xml:space="preserve">at vejlede aktører på </w:t>
      </w:r>
      <w:r w:rsidR="00C20098">
        <w:t xml:space="preserve">markederne for </w:t>
      </w:r>
      <w:proofErr w:type="spellStart"/>
      <w:r w:rsidR="00C20098">
        <w:t>kryptoaktiver</w:t>
      </w:r>
      <w:proofErr w:type="spellEnd"/>
      <w:r w:rsidR="005278B9">
        <w:t xml:space="preserve"> </w:t>
      </w:r>
      <w:r w:rsidR="000543F2">
        <w:t xml:space="preserve">om </w:t>
      </w:r>
      <w:r w:rsidR="005278B9">
        <w:t xml:space="preserve">Finanstilsynets principper for vurdering af </w:t>
      </w:r>
      <w:proofErr w:type="spellStart"/>
      <w:r w:rsidR="005278B9">
        <w:t>decentralitet</w:t>
      </w:r>
      <w:proofErr w:type="spellEnd"/>
      <w:r w:rsidR="005278B9">
        <w:t xml:space="preserve">. </w:t>
      </w:r>
    </w:p>
    <w:p w14:paraId="12A3DF98" w14:textId="77777777" w:rsidR="00102909" w:rsidRDefault="00102909" w:rsidP="005278B9"/>
    <w:p w14:paraId="0886BEF6" w14:textId="69255EC6" w:rsidR="00C700DA" w:rsidRDefault="00835983" w:rsidP="005278B9">
      <w:r>
        <w:t xml:space="preserve">Anledningen </w:t>
      </w:r>
      <w:r w:rsidR="00246D8F">
        <w:t xml:space="preserve">bag denne orientering </w:t>
      </w:r>
      <w:r>
        <w:t xml:space="preserve">er, at </w:t>
      </w:r>
      <w:r w:rsidR="005278B9" w:rsidRPr="005511FD">
        <w:t xml:space="preserve">Europa-Parlamentets og Rådets forordning (EU) 2023/1114 om markeder for </w:t>
      </w:r>
      <w:proofErr w:type="spellStart"/>
      <w:r w:rsidR="005278B9" w:rsidRPr="005511FD">
        <w:t>kryptoaktiver</w:t>
      </w:r>
      <w:proofErr w:type="spellEnd"/>
      <w:r w:rsidR="005278B9" w:rsidRPr="005511FD">
        <w:t xml:space="preserve"> (</w:t>
      </w:r>
      <w:proofErr w:type="spellStart"/>
      <w:r w:rsidR="005278B9" w:rsidRPr="005511FD">
        <w:t>MiCA</w:t>
      </w:r>
      <w:proofErr w:type="spellEnd"/>
      <w:r w:rsidR="005278B9" w:rsidRPr="005511FD">
        <w:t>)</w:t>
      </w:r>
      <w:r w:rsidR="005278B9">
        <w:t xml:space="preserve"> </w:t>
      </w:r>
      <w:r>
        <w:t xml:space="preserve">ikke </w:t>
      </w:r>
      <w:r w:rsidR="005278B9">
        <w:t xml:space="preserve">finder anvendelse på </w:t>
      </w:r>
      <w:r w:rsidR="00F7795D">
        <w:t xml:space="preserve">udstedelser af </w:t>
      </w:r>
      <w:proofErr w:type="spellStart"/>
      <w:r w:rsidR="00F7795D">
        <w:t>kryptoaktiver</w:t>
      </w:r>
      <w:proofErr w:type="spellEnd"/>
      <w:r w:rsidR="00F7795D">
        <w:t xml:space="preserve"> og udbud af </w:t>
      </w:r>
      <w:proofErr w:type="spellStart"/>
      <w:r w:rsidR="00F7795D">
        <w:t>kryptoaktivtjenester</w:t>
      </w:r>
      <w:proofErr w:type="spellEnd"/>
      <w:r w:rsidR="00AC2059">
        <w:t xml:space="preserve">, </w:t>
      </w:r>
      <w:r w:rsidR="005278B9">
        <w:t>hvis d</w:t>
      </w:r>
      <w:r w:rsidR="00021FBC">
        <w:t>isse aktiviteter</w:t>
      </w:r>
      <w:r w:rsidR="005278B9">
        <w:t xml:space="preserve"> leveres </w:t>
      </w:r>
      <w:r w:rsidR="00794785">
        <w:t xml:space="preserve">fuldstændig </w:t>
      </w:r>
      <w:r w:rsidR="005278B9">
        <w:t xml:space="preserve">decentralt. </w:t>
      </w:r>
      <w:r w:rsidR="00C700DA">
        <w:t xml:space="preserve">Finanstilsynet </w:t>
      </w:r>
      <w:r w:rsidR="0004540C">
        <w:t>s</w:t>
      </w:r>
      <w:r w:rsidR="00C700DA">
        <w:t xml:space="preserve">er derfor </w:t>
      </w:r>
      <w:r w:rsidR="0004540C">
        <w:t>et behov for</w:t>
      </w:r>
      <w:r w:rsidR="00C700DA">
        <w:t xml:space="preserve"> at </w:t>
      </w:r>
      <w:r w:rsidR="00021FBC">
        <w:t xml:space="preserve">vejlede om hvornår Finanstilsynet </w:t>
      </w:r>
      <w:r w:rsidR="00C700DA">
        <w:t xml:space="preserve">karakteriserer </w:t>
      </w:r>
      <w:r w:rsidR="00021FBC">
        <w:t>e</w:t>
      </w:r>
      <w:r w:rsidR="00A404C6">
        <w:t>t udbud af en</w:t>
      </w:r>
      <w:r w:rsidR="00021FBC">
        <w:t xml:space="preserve"> </w:t>
      </w:r>
      <w:r w:rsidR="00C700DA">
        <w:t>aktivitet</w:t>
      </w:r>
      <w:r w:rsidR="00021FBC">
        <w:t xml:space="preserve"> </w:t>
      </w:r>
      <w:r w:rsidR="00C700DA">
        <w:t xml:space="preserve">som </w:t>
      </w:r>
      <w:r w:rsidR="00A404C6">
        <w:t xml:space="preserve">fuldstændig </w:t>
      </w:r>
      <w:r w:rsidR="00C700DA">
        <w:t>decentral</w:t>
      </w:r>
      <w:r w:rsidR="00A404C6">
        <w:t>t</w:t>
      </w:r>
      <w:r w:rsidR="00C700DA">
        <w:t xml:space="preserve"> </w:t>
      </w:r>
      <w:r w:rsidR="0004540C">
        <w:t xml:space="preserve">– </w:t>
      </w:r>
      <w:r w:rsidR="00C700DA">
        <w:t>og der</w:t>
      </w:r>
      <w:r w:rsidR="0004540C">
        <w:t>med</w:t>
      </w:r>
      <w:r w:rsidR="00C700DA">
        <w:t xml:space="preserve"> ikke omfattet af </w:t>
      </w:r>
      <w:proofErr w:type="spellStart"/>
      <w:r w:rsidR="00C700DA">
        <w:t>MiCA</w:t>
      </w:r>
      <w:proofErr w:type="spellEnd"/>
      <w:r w:rsidR="00C700DA">
        <w:t xml:space="preserve">. </w:t>
      </w:r>
      <w:r w:rsidR="00021FBC">
        <w:t xml:space="preserve">Dette kan have afgørende betydning for virksomhederne i forhold til deres overvejelser om, hvordan de indretter sig, herunder </w:t>
      </w:r>
      <w:r w:rsidR="000A5F91">
        <w:t xml:space="preserve">om de skal </w:t>
      </w:r>
      <w:r w:rsidR="00021FBC">
        <w:t>søge tilladelse til at udøve aktiviteter efter MICA. Udøver en virksomhed aktiviteter uden at have tilladelse med henvisning til, at aktiviteten er fuldstændig decentral, er det afgørende at virksomheden har overvejet dette forhold nøje og forholdt sig til Finanstilsynets vejledning, idet e</w:t>
      </w:r>
      <w:r w:rsidR="00C700DA">
        <w:t xml:space="preserve">n forkert klassificering af et udbud vil </w:t>
      </w:r>
      <w:r w:rsidR="00B305AF">
        <w:t xml:space="preserve">kunne </w:t>
      </w:r>
      <w:r w:rsidR="0004540C">
        <w:t>betragtes som</w:t>
      </w:r>
      <w:r w:rsidR="000543F2">
        <w:t xml:space="preserve"> </w:t>
      </w:r>
      <w:r w:rsidR="00B305AF">
        <w:t>ulovlig virksomhed.</w:t>
      </w:r>
      <w:r w:rsidR="00127283">
        <w:t xml:space="preserve"> </w:t>
      </w:r>
    </w:p>
    <w:p w14:paraId="2851BEE7" w14:textId="77777777" w:rsidR="00762693" w:rsidRDefault="00762693" w:rsidP="005278B9"/>
    <w:p w14:paraId="032FB924" w14:textId="354AD677" w:rsidR="00762693" w:rsidRDefault="00762693" w:rsidP="005278B9">
      <w:r>
        <w:t>Figur 1 formulerer de spørgsmål, aktører som udgangspunkt bør stille sig selv for at afdække, om</w:t>
      </w:r>
      <w:r w:rsidR="00F7795D">
        <w:t xml:space="preserve"> et udbud af regulerede aktiviteter sker</w:t>
      </w:r>
      <w:r>
        <w:t xml:space="preserve"> </w:t>
      </w:r>
      <w:r w:rsidR="00F7795D">
        <w:t xml:space="preserve">decentralt eller er </w:t>
      </w:r>
      <w:r>
        <w:t xml:space="preserve">omfattet af </w:t>
      </w:r>
      <w:proofErr w:type="spellStart"/>
      <w:r>
        <w:t>MiCA</w:t>
      </w:r>
      <w:proofErr w:type="spellEnd"/>
      <w:r>
        <w:t>.</w:t>
      </w:r>
    </w:p>
    <w:p w14:paraId="34F749CC" w14:textId="3D87964B" w:rsidR="003333BA" w:rsidRDefault="003333BA" w:rsidP="005278B9"/>
    <w:p w14:paraId="5850FAF1" w14:textId="56FC7EE4" w:rsidR="005278B9" w:rsidRPr="00EE3B8C" w:rsidRDefault="00F7795D" w:rsidP="005278B9">
      <w:pPr>
        <w:rPr>
          <w:b/>
          <w:bCs/>
        </w:rPr>
      </w:pPr>
      <w:r w:rsidRPr="00D972E4">
        <w:rPr>
          <w:noProof/>
        </w:rPr>
        <w:drawing>
          <wp:anchor distT="0" distB="0" distL="114300" distR="114300" simplePos="0" relativeHeight="251650048" behindDoc="1" locked="0" layoutInCell="1" allowOverlap="1" wp14:anchorId="0EF1E88C" wp14:editId="2C4C189F">
            <wp:simplePos x="0" y="0"/>
            <wp:positionH relativeFrom="column">
              <wp:posOffset>215265</wp:posOffset>
            </wp:positionH>
            <wp:positionV relativeFrom="paragraph">
              <wp:posOffset>180340</wp:posOffset>
            </wp:positionV>
            <wp:extent cx="4831080" cy="3876675"/>
            <wp:effectExtent l="0" t="0" r="7620" b="9525"/>
            <wp:wrapNone/>
            <wp:docPr id="67" name="Billede 66">
              <a:extLst xmlns:a="http://schemas.openxmlformats.org/drawingml/2006/main">
                <a:ext uri="{FF2B5EF4-FFF2-40B4-BE49-F238E27FC236}">
                  <a16:creationId xmlns:a16="http://schemas.microsoft.com/office/drawing/2014/main" id="{7FAAF655-DED2-3578-A3B9-82432FD95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illede 66">
                      <a:extLst>
                        <a:ext uri="{FF2B5EF4-FFF2-40B4-BE49-F238E27FC236}">
                          <a16:creationId xmlns:a16="http://schemas.microsoft.com/office/drawing/2014/main" id="{7FAAF655-DED2-3578-A3B9-82432FD954F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31080" cy="3876675"/>
                    </a:xfrm>
                    <a:prstGeom prst="rect">
                      <a:avLst/>
                    </a:prstGeom>
                  </pic:spPr>
                </pic:pic>
              </a:graphicData>
            </a:graphic>
            <wp14:sizeRelH relativeFrom="page">
              <wp14:pctWidth>0</wp14:pctWidth>
            </wp14:sizeRelH>
            <wp14:sizeRelV relativeFrom="page">
              <wp14:pctHeight>0</wp14:pctHeight>
            </wp14:sizeRelV>
          </wp:anchor>
        </w:drawing>
      </w:r>
      <w:r w:rsidR="005278B9">
        <w:rPr>
          <w:b/>
          <w:bCs/>
        </w:rPr>
        <w:t xml:space="preserve">Figur 1 – </w:t>
      </w:r>
      <w:r w:rsidR="005278B9" w:rsidRPr="0061680F">
        <w:rPr>
          <w:b/>
          <w:bCs/>
        </w:rPr>
        <w:t xml:space="preserve">Er </w:t>
      </w:r>
      <w:r w:rsidR="00787E91">
        <w:rPr>
          <w:b/>
          <w:bCs/>
        </w:rPr>
        <w:t xml:space="preserve">dit udbud </w:t>
      </w:r>
      <w:r>
        <w:rPr>
          <w:b/>
          <w:bCs/>
        </w:rPr>
        <w:t xml:space="preserve">decentralt eller </w:t>
      </w:r>
      <w:r w:rsidR="00C20098">
        <w:rPr>
          <w:b/>
          <w:bCs/>
        </w:rPr>
        <w:t xml:space="preserve">omfattet af </w:t>
      </w:r>
      <w:proofErr w:type="spellStart"/>
      <w:r w:rsidR="005278B9" w:rsidRPr="0061680F">
        <w:rPr>
          <w:b/>
          <w:bCs/>
        </w:rPr>
        <w:t>MiCA</w:t>
      </w:r>
      <w:proofErr w:type="spellEnd"/>
      <w:r w:rsidR="005278B9" w:rsidRPr="0061680F">
        <w:rPr>
          <w:b/>
          <w:bCs/>
        </w:rPr>
        <w:t>?</w:t>
      </w:r>
      <w:r w:rsidR="005278B9">
        <w:rPr>
          <w:b/>
          <w:bCs/>
        </w:rPr>
        <w:t xml:space="preserve"> </w:t>
      </w:r>
    </w:p>
    <w:p w14:paraId="35B7C798" w14:textId="57F7C2E4" w:rsidR="005278B9" w:rsidRDefault="005278B9" w:rsidP="005278B9">
      <w:r w:rsidRPr="008F3BE0">
        <w:rPr>
          <w:noProof/>
        </w:rPr>
        <w:t xml:space="preserve"> </w:t>
      </w:r>
      <w:r>
        <w:rPr>
          <w:noProof/>
        </w:rPr>
        <w:t xml:space="preserve"> </w:t>
      </w:r>
    </w:p>
    <w:p w14:paraId="6670D61A" w14:textId="65C53BF0" w:rsidR="005278B9" w:rsidRDefault="005278B9" w:rsidP="005278B9"/>
    <w:p w14:paraId="11D29304" w14:textId="68CDD356" w:rsidR="005278B9" w:rsidRDefault="005278B9" w:rsidP="005278B9"/>
    <w:p w14:paraId="565EC5B0" w14:textId="06FC00F7" w:rsidR="005278B9" w:rsidRDefault="005278B9" w:rsidP="005278B9"/>
    <w:p w14:paraId="0CD2C47C" w14:textId="12040650" w:rsidR="005278B9" w:rsidRDefault="005278B9" w:rsidP="005278B9"/>
    <w:p w14:paraId="0CC890D5" w14:textId="28CE5816" w:rsidR="005278B9" w:rsidRDefault="005278B9" w:rsidP="005278B9"/>
    <w:p w14:paraId="0568EF4F" w14:textId="77777777" w:rsidR="005278B9" w:rsidRDefault="005278B9" w:rsidP="005278B9"/>
    <w:p w14:paraId="25B15875" w14:textId="77777777" w:rsidR="005278B9" w:rsidRDefault="005278B9" w:rsidP="005278B9"/>
    <w:p w14:paraId="1F9B412B" w14:textId="77777777" w:rsidR="005278B9" w:rsidRDefault="005278B9" w:rsidP="005278B9"/>
    <w:p w14:paraId="221FDF19" w14:textId="77777777" w:rsidR="005278B9" w:rsidRDefault="005278B9" w:rsidP="005278B9"/>
    <w:p w14:paraId="3BBE78B5" w14:textId="77777777" w:rsidR="005278B9" w:rsidRDefault="005278B9" w:rsidP="005278B9"/>
    <w:p w14:paraId="15297B31" w14:textId="77777777" w:rsidR="005278B9" w:rsidRDefault="005278B9" w:rsidP="005278B9"/>
    <w:p w14:paraId="7367CC8E" w14:textId="77777777" w:rsidR="005278B9" w:rsidRDefault="005278B9" w:rsidP="005278B9"/>
    <w:p w14:paraId="701F67E8" w14:textId="77777777" w:rsidR="005278B9" w:rsidRDefault="005278B9" w:rsidP="005278B9"/>
    <w:p w14:paraId="7FE22717" w14:textId="77777777" w:rsidR="005278B9" w:rsidRDefault="005278B9" w:rsidP="005278B9"/>
    <w:p w14:paraId="22028848" w14:textId="77777777" w:rsidR="005278B9" w:rsidRDefault="005278B9" w:rsidP="005278B9"/>
    <w:p w14:paraId="5632ED6C" w14:textId="77777777" w:rsidR="005278B9" w:rsidRDefault="005278B9" w:rsidP="005278B9"/>
    <w:p w14:paraId="7ACB3C12" w14:textId="77777777" w:rsidR="005278B9" w:rsidRDefault="005278B9" w:rsidP="005278B9"/>
    <w:p w14:paraId="61CC77B2" w14:textId="77777777" w:rsidR="005278B9" w:rsidRDefault="005278B9" w:rsidP="005278B9"/>
    <w:p w14:paraId="7C18DCEC" w14:textId="77777777" w:rsidR="005278B9" w:rsidRDefault="005278B9" w:rsidP="005278B9"/>
    <w:p w14:paraId="60E05433" w14:textId="77777777" w:rsidR="005278B9" w:rsidRDefault="005278B9" w:rsidP="005278B9"/>
    <w:p w14:paraId="12B35363" w14:textId="77777777" w:rsidR="005278B9" w:rsidRDefault="005278B9" w:rsidP="005278B9"/>
    <w:p w14:paraId="74FF5F2E" w14:textId="2FF4C79C" w:rsidR="00C700DA" w:rsidRPr="00C20098" w:rsidRDefault="0004540C" w:rsidP="00C20098">
      <w:pPr>
        <w:tabs>
          <w:tab w:val="clear" w:pos="1134"/>
          <w:tab w:val="clear" w:pos="2268"/>
          <w:tab w:val="clear" w:pos="2835"/>
          <w:tab w:val="clear" w:pos="3402"/>
          <w:tab w:val="clear" w:pos="3969"/>
          <w:tab w:val="clear" w:pos="4536"/>
          <w:tab w:val="clear" w:pos="5103"/>
          <w:tab w:val="clear" w:pos="5670"/>
          <w:tab w:val="clear" w:pos="6237"/>
          <w:tab w:val="clear" w:pos="6804"/>
        </w:tabs>
        <w:jc w:val="left"/>
        <w:rPr>
          <w:sz w:val="18"/>
          <w:szCs w:val="16"/>
        </w:rPr>
      </w:pPr>
      <w:r>
        <w:rPr>
          <w:b/>
          <w:bCs/>
          <w:sz w:val="18"/>
          <w:szCs w:val="16"/>
        </w:rPr>
        <w:t>Note</w:t>
      </w:r>
      <w:r w:rsidR="00C700DA">
        <w:rPr>
          <w:b/>
          <w:bCs/>
          <w:sz w:val="18"/>
          <w:szCs w:val="16"/>
        </w:rPr>
        <w:t>:</w:t>
      </w:r>
      <w:r w:rsidR="00785C4D">
        <w:rPr>
          <w:b/>
          <w:bCs/>
          <w:sz w:val="18"/>
          <w:szCs w:val="16"/>
        </w:rPr>
        <w:t xml:space="preserve"> </w:t>
      </w:r>
      <w:r w:rsidR="000543F2">
        <w:rPr>
          <w:sz w:val="18"/>
          <w:szCs w:val="16"/>
        </w:rPr>
        <w:t>F</w:t>
      </w:r>
      <w:r w:rsidR="00785C4D">
        <w:rPr>
          <w:sz w:val="18"/>
          <w:szCs w:val="16"/>
        </w:rPr>
        <w:t xml:space="preserve">iguren </w:t>
      </w:r>
      <w:r w:rsidR="000543F2">
        <w:rPr>
          <w:sz w:val="18"/>
          <w:szCs w:val="16"/>
        </w:rPr>
        <w:t xml:space="preserve">læses fra </w:t>
      </w:r>
      <w:r w:rsidR="00785C4D">
        <w:rPr>
          <w:sz w:val="18"/>
          <w:szCs w:val="16"/>
        </w:rPr>
        <w:t>øverst</w:t>
      </w:r>
      <w:r w:rsidR="000543F2">
        <w:rPr>
          <w:sz w:val="18"/>
          <w:szCs w:val="16"/>
        </w:rPr>
        <w:t>e</w:t>
      </w:r>
      <w:r w:rsidR="00785C4D">
        <w:rPr>
          <w:sz w:val="18"/>
          <w:szCs w:val="16"/>
        </w:rPr>
        <w:t xml:space="preserve"> venstre hjørne</w:t>
      </w:r>
      <w:r>
        <w:rPr>
          <w:sz w:val="18"/>
          <w:szCs w:val="16"/>
        </w:rPr>
        <w:t xml:space="preserve">. Herefter følges de </w:t>
      </w:r>
      <w:r w:rsidR="00785C4D">
        <w:rPr>
          <w:sz w:val="18"/>
          <w:szCs w:val="16"/>
        </w:rPr>
        <w:t xml:space="preserve">svar, som afspejler </w:t>
      </w:r>
      <w:r>
        <w:rPr>
          <w:sz w:val="18"/>
          <w:szCs w:val="16"/>
        </w:rPr>
        <w:t xml:space="preserve">vurderingen af </w:t>
      </w:r>
      <w:r w:rsidR="00785C4D">
        <w:rPr>
          <w:sz w:val="18"/>
          <w:szCs w:val="16"/>
        </w:rPr>
        <w:t>aktiviteten</w:t>
      </w:r>
      <w:r>
        <w:rPr>
          <w:sz w:val="18"/>
          <w:szCs w:val="16"/>
        </w:rPr>
        <w:t xml:space="preserve"> i spørgsmålene</w:t>
      </w:r>
      <w:r w:rsidR="00785C4D">
        <w:rPr>
          <w:sz w:val="18"/>
          <w:szCs w:val="16"/>
        </w:rPr>
        <w:t xml:space="preserve">.  </w:t>
      </w:r>
    </w:p>
    <w:p w14:paraId="5A437555" w14:textId="1BED2DB6" w:rsidR="005278B9" w:rsidRDefault="005278B9" w:rsidP="005278B9">
      <w:pPr>
        <w:jc w:val="left"/>
        <w:rPr>
          <w:sz w:val="18"/>
          <w:szCs w:val="16"/>
        </w:rPr>
      </w:pPr>
      <w:r w:rsidRPr="00147F06">
        <w:rPr>
          <w:b/>
          <w:bCs/>
          <w:sz w:val="18"/>
          <w:szCs w:val="16"/>
        </w:rPr>
        <w:t xml:space="preserve">Kilde: </w:t>
      </w:r>
      <w:r w:rsidRPr="00147F06">
        <w:rPr>
          <w:sz w:val="18"/>
          <w:szCs w:val="16"/>
        </w:rPr>
        <w:t>Finanstilsynet</w:t>
      </w:r>
    </w:p>
    <w:p w14:paraId="4F7EBDAD" w14:textId="77777777" w:rsidR="003B3C8C" w:rsidRDefault="003B3C8C" w:rsidP="005278B9">
      <w:pPr>
        <w:jc w:val="left"/>
        <w:rPr>
          <w:sz w:val="18"/>
          <w:szCs w:val="16"/>
        </w:rPr>
      </w:pPr>
    </w:p>
    <w:p w14:paraId="2B7ED71A" w14:textId="2FEAF3B6" w:rsidR="00021FBC" w:rsidRDefault="00021FBC" w:rsidP="00021FBC">
      <w:proofErr w:type="spellStart"/>
      <w:r>
        <w:lastRenderedPageBreak/>
        <w:t>Decentralitet</w:t>
      </w:r>
      <w:proofErr w:type="spellEnd"/>
      <w:r>
        <w:t xml:space="preserve"> indenfor finansielle tjenesteydelser er drevet af </w:t>
      </w:r>
      <w:proofErr w:type="spellStart"/>
      <w:r>
        <w:t>distributed</w:t>
      </w:r>
      <w:proofErr w:type="spellEnd"/>
      <w:r>
        <w:t xml:space="preserve"> </w:t>
      </w:r>
      <w:proofErr w:type="spellStart"/>
      <w:r>
        <w:t>ledger</w:t>
      </w:r>
      <w:proofErr w:type="spellEnd"/>
      <w:r>
        <w:t>-teknologien (DLT). En mere almindeligt kendt variation af teknologien er blockchain. Blockchain har bl.a. muliggjort, at aktører på markedet kan udvikle og tilgængeliggøre selveksekverende og autonom software (</w:t>
      </w:r>
      <w:r w:rsidRPr="00F419F8">
        <w:t>smartkontrakter</w:t>
      </w:r>
      <w:r>
        <w:t xml:space="preserve">), som brugere kan anvende til at modtage tjenester med </w:t>
      </w:r>
      <w:proofErr w:type="spellStart"/>
      <w:r>
        <w:t>kryptoaktiver</w:t>
      </w:r>
      <w:proofErr w:type="spellEnd"/>
      <w:r>
        <w:t xml:space="preserve">. Blockchain har også muliggjort, at de ledelsesmæssige beslutninger forbundet med det pågældende udbud kan varetages decentralt. Fænomenet kaldes </w:t>
      </w:r>
      <w:proofErr w:type="spellStart"/>
      <w:r>
        <w:t>d</w:t>
      </w:r>
      <w:r w:rsidRPr="00FB774B">
        <w:t>ecentralized</w:t>
      </w:r>
      <w:proofErr w:type="spellEnd"/>
      <w:r w:rsidRPr="00FB774B">
        <w:t xml:space="preserve"> </w:t>
      </w:r>
      <w:proofErr w:type="spellStart"/>
      <w:r>
        <w:t>f</w:t>
      </w:r>
      <w:r w:rsidRPr="00FB774B">
        <w:t>inance</w:t>
      </w:r>
      <w:proofErr w:type="spellEnd"/>
      <w:r>
        <w:t xml:space="preserve"> </w:t>
      </w:r>
      <w:r w:rsidRPr="00FB774B">
        <w:t>(</w:t>
      </w:r>
      <w:proofErr w:type="spellStart"/>
      <w:r w:rsidRPr="00FB774B">
        <w:t>DeFi</w:t>
      </w:r>
      <w:proofErr w:type="spellEnd"/>
      <w:r w:rsidRPr="00FB774B">
        <w:t>)</w:t>
      </w:r>
      <w:r>
        <w:t xml:space="preserve">, på dansk decentral finans. </w:t>
      </w:r>
    </w:p>
    <w:p w14:paraId="27559F4A" w14:textId="77777777" w:rsidR="00021FBC" w:rsidRPr="00147F06" w:rsidRDefault="00021FBC" w:rsidP="005278B9">
      <w:pPr>
        <w:jc w:val="left"/>
        <w:rPr>
          <w:sz w:val="18"/>
          <w:szCs w:val="16"/>
        </w:rPr>
      </w:pPr>
    </w:p>
    <w:p w14:paraId="4EB89CEE" w14:textId="4FBC93C6" w:rsidR="006B70BC" w:rsidRDefault="00102909" w:rsidP="005278B9">
      <w:r>
        <w:t xml:space="preserve">Aktører på markederne for </w:t>
      </w:r>
      <w:proofErr w:type="spellStart"/>
      <w:r>
        <w:t>kryptoaktiver</w:t>
      </w:r>
      <w:proofErr w:type="spellEnd"/>
      <w:r>
        <w:t xml:space="preserve"> bør altid forholde sig til, om aktiviteter, der påtænkes udbudt, som udgangspunkt er reguleret.</w:t>
      </w:r>
      <w:r w:rsidR="006B70BC">
        <w:t xml:space="preserve"> En forudsætning herfor er, at udbuddet involverer </w:t>
      </w:r>
      <w:proofErr w:type="spellStart"/>
      <w:r w:rsidR="006B70BC">
        <w:t>kryptoaktiver</w:t>
      </w:r>
      <w:proofErr w:type="spellEnd"/>
      <w:r w:rsidR="006B70BC">
        <w:t xml:space="preserve">, der ikke kan klassificeres som andre aktivtyper – f.eks. finansielle instrumenter. </w:t>
      </w:r>
      <w:r>
        <w:t xml:space="preserve">Er det tilfældet er det </w:t>
      </w:r>
      <w:r w:rsidR="00021FBC">
        <w:t xml:space="preserve">i medfør at </w:t>
      </w:r>
      <w:proofErr w:type="spellStart"/>
      <w:r w:rsidR="00021FBC">
        <w:t>MiCA</w:t>
      </w:r>
      <w:proofErr w:type="spellEnd"/>
      <w:r w:rsidR="00021FBC">
        <w:t xml:space="preserve"> </w:t>
      </w:r>
      <w:r>
        <w:t>også relevant, at aktørerne forholder sig til, om udbuddet kan karakteriseres som teknisk eller ledelsesmæssigt decentralt.</w:t>
      </w:r>
      <w:r w:rsidR="006B70BC">
        <w:t xml:space="preserve"> Disse to niveauer af </w:t>
      </w:r>
      <w:proofErr w:type="spellStart"/>
      <w:r w:rsidR="006B70BC">
        <w:t>decentralitet</w:t>
      </w:r>
      <w:proofErr w:type="spellEnd"/>
      <w:r w:rsidR="006B70BC">
        <w:t xml:space="preserve"> gennemgås nærmere i afsnit 5.2 og 5.3. Det bemærkes, at der er visse forhold</w:t>
      </w:r>
      <w:r w:rsidR="00B80695">
        <w:t xml:space="preserve">, der </w:t>
      </w:r>
      <w:r w:rsidR="006B70BC">
        <w:t xml:space="preserve">er relevante for begge vurderinger, men vurderingerne adskiller sig ved først at se på hvordan aktiviteten teknisk udbydes (teknisk </w:t>
      </w:r>
      <w:proofErr w:type="spellStart"/>
      <w:r w:rsidR="006B70BC">
        <w:t>decentralitet</w:t>
      </w:r>
      <w:proofErr w:type="spellEnd"/>
      <w:r w:rsidR="006B70BC">
        <w:t xml:space="preserve">) til efterfølgende at kigge nærmere ind i, hvordan de ledelsesmæssige beslutninger forbundet med udbuddet træffes (decentral ledelse). </w:t>
      </w:r>
    </w:p>
    <w:p w14:paraId="30404B2F" w14:textId="77777777" w:rsidR="006B70BC" w:rsidRDefault="006B70BC" w:rsidP="005278B9"/>
    <w:p w14:paraId="724351E0" w14:textId="4B7417D0" w:rsidR="006B70BC" w:rsidRDefault="00127283" w:rsidP="005278B9">
      <w:r w:rsidRPr="00E32686">
        <w:t>Selvom e</w:t>
      </w:r>
      <w:r w:rsidRPr="00FB774B">
        <w:t>n</w:t>
      </w:r>
      <w:r w:rsidRPr="00E32686">
        <w:t xml:space="preserve"> udb</w:t>
      </w:r>
      <w:r w:rsidRPr="00FB774B">
        <w:t>y</w:t>
      </w:r>
      <w:r w:rsidRPr="00E32686">
        <w:t>d</w:t>
      </w:r>
      <w:r w:rsidRPr="00FB774B">
        <w:t>er</w:t>
      </w:r>
      <w:r w:rsidRPr="00E32686">
        <w:t xml:space="preserve"> </w:t>
      </w:r>
      <w:r w:rsidRPr="00FB774B">
        <w:t>brug</w:t>
      </w:r>
      <w:r w:rsidRPr="00E32686">
        <w:t>er smartkontrakter</w:t>
      </w:r>
      <w:r w:rsidRPr="00FB774B">
        <w:t>, som er</w:t>
      </w:r>
      <w:r w:rsidRPr="00E32686">
        <w:t xml:space="preserve"> udstedt på en konventionel blockchain</w:t>
      </w:r>
      <w:r w:rsidRPr="00E32686">
        <w:rPr>
          <w:rStyle w:val="Fodnotehenvisning"/>
        </w:rPr>
        <w:footnoteReference w:id="1"/>
      </w:r>
      <w:r w:rsidRPr="00E32686">
        <w:t xml:space="preserve">, f.eks. </w:t>
      </w:r>
      <w:proofErr w:type="spellStart"/>
      <w:r w:rsidRPr="00E32686">
        <w:t>Ethereum</w:t>
      </w:r>
      <w:proofErr w:type="spellEnd"/>
      <w:r w:rsidRPr="00E32686">
        <w:t xml:space="preserve">, </w:t>
      </w:r>
      <w:r>
        <w:t xml:space="preserve">kan udbuddet af en aktivitet omfattet af </w:t>
      </w:r>
      <w:proofErr w:type="spellStart"/>
      <w:r>
        <w:t>MiCA</w:t>
      </w:r>
      <w:proofErr w:type="spellEnd"/>
      <w:r>
        <w:t xml:space="preserve"> </w:t>
      </w:r>
      <w:r w:rsidRPr="00E32686">
        <w:t>ikke nødvendigvis karakteriseres som decentralt.</w:t>
      </w:r>
      <w:r>
        <w:t xml:space="preserve"> U</w:t>
      </w:r>
      <w:r w:rsidR="00CC2013">
        <w:t>dbud</w:t>
      </w:r>
      <w:r>
        <w:t>det</w:t>
      </w:r>
      <w:r w:rsidR="00CC2013">
        <w:t xml:space="preserve"> af en reguleret aktivitet</w:t>
      </w:r>
      <w:r w:rsidR="00295CEC">
        <w:t xml:space="preserve"> betragtes</w:t>
      </w:r>
      <w:r w:rsidR="00CC2013">
        <w:t xml:space="preserve"> kun som decentralt</w:t>
      </w:r>
      <w:r w:rsidR="009454AB">
        <w:t>, når</w:t>
      </w:r>
      <w:r w:rsidR="00CC2013">
        <w:t xml:space="preserve"> der ikke </w:t>
      </w:r>
      <w:r w:rsidR="00F810BB">
        <w:t>findes</w:t>
      </w:r>
      <w:r w:rsidR="00CC2013">
        <w:t xml:space="preserve"> e</w:t>
      </w:r>
      <w:r w:rsidR="00F7795D">
        <w:t xml:space="preserve">n modpart, der udgør et </w:t>
      </w:r>
      <w:proofErr w:type="spellStart"/>
      <w:r w:rsidR="00F7795D">
        <w:t>retssubjekt</w:t>
      </w:r>
      <w:proofErr w:type="spellEnd"/>
      <w:r w:rsidR="00CC2013">
        <w:t xml:space="preserve">, </w:t>
      </w:r>
      <w:r w:rsidR="00F7795D">
        <w:t xml:space="preserve">og </w:t>
      </w:r>
      <w:r w:rsidR="00CC2013">
        <w:t xml:space="preserve">som brugere af aktiviteten kan indgå en gyldig aftale </w:t>
      </w:r>
      <w:r w:rsidR="009454AB">
        <w:t xml:space="preserve">med </w:t>
      </w:r>
      <w:r w:rsidR="00CC2013">
        <w:t>om levering af tjenesteydelse</w:t>
      </w:r>
      <w:r w:rsidR="00E65CBE">
        <w:t>n</w:t>
      </w:r>
      <w:r w:rsidR="00891CC1">
        <w:t xml:space="preserve"> (uddybes nærmere i afsnit 5.1)</w:t>
      </w:r>
      <w:r w:rsidR="009454AB">
        <w:t xml:space="preserve">. </w:t>
      </w:r>
      <w:r w:rsidR="00CC2013">
        <w:t xml:space="preserve">I den forbindelse er det </w:t>
      </w:r>
      <w:r w:rsidR="00B80695">
        <w:t xml:space="preserve">også </w:t>
      </w:r>
      <w:r w:rsidR="00CC2013">
        <w:t>centralt at skelne mellem</w:t>
      </w:r>
      <w:r w:rsidR="002E5B1F">
        <w:t xml:space="preserve"> de </w:t>
      </w:r>
      <w:r w:rsidR="00CC2013">
        <w:t>aktiviteter</w:t>
      </w:r>
      <w:r w:rsidR="002E5B1F">
        <w:t>, som</w:t>
      </w:r>
      <w:r w:rsidR="00CC2013">
        <w:t xml:space="preserve"> et </w:t>
      </w:r>
      <w:proofErr w:type="spellStart"/>
      <w:r w:rsidR="00CC2013">
        <w:t>retssubjekt</w:t>
      </w:r>
      <w:proofErr w:type="spellEnd"/>
      <w:r w:rsidR="00CC2013">
        <w:t xml:space="preserve"> i praksis </w:t>
      </w:r>
      <w:r w:rsidR="002C0368">
        <w:t>råder</w:t>
      </w:r>
      <w:r w:rsidR="00CC2013">
        <w:t xml:space="preserve"> </w:t>
      </w:r>
      <w:r w:rsidR="00246D8F">
        <w:t xml:space="preserve">og ikke råder </w:t>
      </w:r>
      <w:r w:rsidR="00CC2013">
        <w:t>over. U</w:t>
      </w:r>
      <w:r w:rsidR="005278B9">
        <w:t xml:space="preserve">dbydere af brugergrænseflader </w:t>
      </w:r>
      <w:r w:rsidR="002E5B1F">
        <w:t>kan f.eks. godt være omfattet af</w:t>
      </w:r>
      <w:r w:rsidR="005278B9">
        <w:t xml:space="preserve"> </w:t>
      </w:r>
      <w:proofErr w:type="spellStart"/>
      <w:r w:rsidR="00E10433">
        <w:t>MiCA</w:t>
      </w:r>
      <w:proofErr w:type="spellEnd"/>
      <w:r w:rsidR="00CC2013">
        <w:t>, selvom den udbudte tjeneste i praksis udgør en integration til en fuldstændig decentral tjeneste</w:t>
      </w:r>
      <w:r w:rsidR="005278B9">
        <w:t>. Det vil</w:t>
      </w:r>
      <w:r w:rsidR="00F7795D">
        <w:t xml:space="preserve"> </w:t>
      </w:r>
      <w:r w:rsidR="00246D8F">
        <w:t xml:space="preserve">bl.a. </w:t>
      </w:r>
      <w:r w:rsidR="005278B9">
        <w:t xml:space="preserve">ofte være tilfældet for udbydere af brugergrænseflader til decentrale handelsfaciliteter. </w:t>
      </w:r>
      <w:r w:rsidR="00B80695">
        <w:t xml:space="preserve">Der kan også opstå tilfælde, hvor udbyderen af DLT-systemet kan udgøre </w:t>
      </w:r>
      <w:proofErr w:type="spellStart"/>
      <w:r w:rsidR="00B80695">
        <w:t>retssubjekt</w:t>
      </w:r>
      <w:proofErr w:type="spellEnd"/>
      <w:r w:rsidR="00B80695">
        <w:t xml:space="preserve"> for et ellers teknisk decentralt udbud af regulerede aktiviteter, der er tilgængelige i systemet, uanset hvem der i praksis har udviklet dem.</w:t>
      </w:r>
    </w:p>
    <w:p w14:paraId="3C527010" w14:textId="77777777" w:rsidR="006B70BC" w:rsidRDefault="006B70BC" w:rsidP="005278B9"/>
    <w:p w14:paraId="2A24B0AE" w14:textId="542EBAFC" w:rsidR="005278B9" w:rsidRDefault="00B80695" w:rsidP="005278B9">
      <w:r>
        <w:t>I forhold til u</w:t>
      </w:r>
      <w:r w:rsidR="005278B9">
        <w:t>dstedelser bør e-</w:t>
      </w:r>
      <w:proofErr w:type="spellStart"/>
      <w:r w:rsidR="005278B9">
        <w:t>penge</w:t>
      </w:r>
      <w:r w:rsidR="00106CC5">
        <w:t>tokens</w:t>
      </w:r>
      <w:proofErr w:type="spellEnd"/>
      <w:r w:rsidR="00106CC5">
        <w:t xml:space="preserve"> </w:t>
      </w:r>
      <w:r w:rsidR="005278B9">
        <w:t xml:space="preserve">(EMT) og aktivbaserede </w:t>
      </w:r>
      <w:proofErr w:type="spellStart"/>
      <w:r w:rsidR="005278B9">
        <w:t>tokens</w:t>
      </w:r>
      <w:proofErr w:type="spellEnd"/>
      <w:r w:rsidR="005278B9">
        <w:t xml:space="preserve"> (ART)</w:t>
      </w:r>
      <w:r>
        <w:t xml:space="preserve"> desuden adskilles fra udstedelser af andre </w:t>
      </w:r>
      <w:proofErr w:type="spellStart"/>
      <w:r>
        <w:t>kryptoaktiver</w:t>
      </w:r>
      <w:proofErr w:type="spellEnd"/>
      <w:r w:rsidR="005278B9">
        <w:t xml:space="preserve">. Udbuddet af </w:t>
      </w:r>
      <w:proofErr w:type="spellStart"/>
      <w:r w:rsidR="005278B9">
        <w:t>EMT’er</w:t>
      </w:r>
      <w:proofErr w:type="spellEnd"/>
      <w:r w:rsidR="005278B9">
        <w:t xml:space="preserve"> og </w:t>
      </w:r>
      <w:proofErr w:type="spellStart"/>
      <w:r w:rsidR="005278B9">
        <w:t>ART’er</w:t>
      </w:r>
      <w:proofErr w:type="spellEnd"/>
      <w:r w:rsidR="005278B9">
        <w:t xml:space="preserve"> </w:t>
      </w:r>
      <w:r w:rsidR="00E10433">
        <w:t xml:space="preserve">indebærer </w:t>
      </w:r>
      <w:r w:rsidR="005278B9">
        <w:t xml:space="preserve">nemlig </w:t>
      </w:r>
      <w:r w:rsidR="00E10433">
        <w:t xml:space="preserve">også overholdelse </w:t>
      </w:r>
      <w:r w:rsidR="00C31228">
        <w:t xml:space="preserve">af </w:t>
      </w:r>
      <w:r w:rsidR="005278B9">
        <w:t xml:space="preserve">en række operationelle og organisatoriske krav. </w:t>
      </w:r>
      <w:r w:rsidR="002350D4">
        <w:t>F</w:t>
      </w:r>
      <w:r w:rsidR="00106CC5">
        <w:t>or alle u</w:t>
      </w:r>
      <w:r w:rsidR="00F47FC4">
        <w:t xml:space="preserve">dstedelser af </w:t>
      </w:r>
      <w:proofErr w:type="spellStart"/>
      <w:r w:rsidR="00F47FC4">
        <w:t>kryptoaktiver</w:t>
      </w:r>
      <w:proofErr w:type="spellEnd"/>
      <w:r w:rsidR="002350D4">
        <w:t xml:space="preserve"> gælder</w:t>
      </w:r>
      <w:r>
        <w:t xml:space="preserve"> dog</w:t>
      </w:r>
      <w:r w:rsidR="00106CC5">
        <w:t xml:space="preserve">, at de </w:t>
      </w:r>
      <w:r w:rsidR="00F47FC4">
        <w:t xml:space="preserve">kun </w:t>
      </w:r>
      <w:r w:rsidR="00106CC5">
        <w:t xml:space="preserve">er </w:t>
      </w:r>
      <w:r w:rsidR="00860EF1">
        <w:t>omfattet</w:t>
      </w:r>
      <w:r w:rsidR="00F47FC4">
        <w:t xml:space="preserve"> </w:t>
      </w:r>
      <w:r w:rsidR="00E10433">
        <w:t xml:space="preserve">af </w:t>
      </w:r>
      <w:proofErr w:type="spellStart"/>
      <w:r w:rsidR="00E10433">
        <w:t>MiCA</w:t>
      </w:r>
      <w:proofErr w:type="spellEnd"/>
      <w:r w:rsidR="00F47FC4">
        <w:t xml:space="preserve">, </w:t>
      </w:r>
      <w:r w:rsidR="00E10433">
        <w:t xml:space="preserve">hvis </w:t>
      </w:r>
      <w:r w:rsidR="00F47FC4">
        <w:t>de udbydes til offentligheden</w:t>
      </w:r>
      <w:r w:rsidR="002350D4">
        <w:t>,</w:t>
      </w:r>
      <w:r w:rsidR="00860EF1">
        <w:t xml:space="preserve"> og </w:t>
      </w:r>
      <w:r w:rsidR="00835983">
        <w:t xml:space="preserve">hvis </w:t>
      </w:r>
      <w:r w:rsidR="00860EF1">
        <w:t>udstederen er identificerbar.</w:t>
      </w:r>
      <w:r w:rsidR="00F47FC4">
        <w:t xml:space="preserve"> </w:t>
      </w:r>
      <w:r>
        <w:t xml:space="preserve">Altså, at der kan identificeres et </w:t>
      </w:r>
      <w:proofErr w:type="spellStart"/>
      <w:r>
        <w:t>retssubjekt</w:t>
      </w:r>
      <w:proofErr w:type="spellEnd"/>
      <w:r>
        <w:t xml:space="preserve"> bag udstedelsen, som de tilknyttede rettigheder kan rettes mod. </w:t>
      </w:r>
    </w:p>
    <w:p w14:paraId="54D929C8" w14:textId="77777777" w:rsidR="005278B9" w:rsidRDefault="005278B9" w:rsidP="005278B9"/>
    <w:p w14:paraId="64D942C2" w14:textId="38C4A841" w:rsidR="00184401" w:rsidRPr="00246D8F" w:rsidRDefault="00184401" w:rsidP="005278B9">
      <w:pPr>
        <w:rPr>
          <w:i/>
          <w:iCs/>
        </w:rPr>
      </w:pPr>
      <w:r w:rsidRPr="00246D8F">
        <w:rPr>
          <w:i/>
          <w:iCs/>
        </w:rPr>
        <w:t>Læsevejledning</w:t>
      </w:r>
    </w:p>
    <w:p w14:paraId="422884B3" w14:textId="72F33BAD" w:rsidR="006B36FE" w:rsidRPr="006B36FE" w:rsidRDefault="00246D8F" w:rsidP="005278B9">
      <w:r>
        <w:t xml:space="preserve">I næste afsnit </w:t>
      </w:r>
      <w:r w:rsidR="00C31228">
        <w:t>uddybe</w:t>
      </w:r>
      <w:r>
        <w:t>s</w:t>
      </w:r>
      <w:r w:rsidR="00C31228">
        <w:t xml:space="preserve"> b</w:t>
      </w:r>
      <w:r w:rsidR="005278B9">
        <w:t xml:space="preserve">aggrunden for </w:t>
      </w:r>
      <w:r w:rsidR="00C31228">
        <w:t xml:space="preserve">denne </w:t>
      </w:r>
      <w:r w:rsidR="005278B9">
        <w:t>orientering</w:t>
      </w:r>
      <w:r w:rsidR="00C31228">
        <w:t xml:space="preserve"> og vejledning. A</w:t>
      </w:r>
      <w:r w:rsidR="005278B9">
        <w:t xml:space="preserve">fsnit 3 </w:t>
      </w:r>
      <w:r w:rsidR="00C31228">
        <w:t xml:space="preserve">introducerer </w:t>
      </w:r>
      <w:r w:rsidR="005278B9">
        <w:t>kort</w:t>
      </w:r>
      <w:r w:rsidR="00E91347">
        <w:t>,</w:t>
      </w:r>
      <w:r w:rsidR="005278B9">
        <w:t xml:space="preserve"> hvordan</w:t>
      </w:r>
      <w:r w:rsidR="003333BA">
        <w:t xml:space="preserve"> </w:t>
      </w:r>
      <w:r w:rsidR="003B3C8C">
        <w:t xml:space="preserve">arkitekturen </w:t>
      </w:r>
      <w:r w:rsidR="00C3787C">
        <w:t xml:space="preserve">for </w:t>
      </w:r>
      <w:proofErr w:type="spellStart"/>
      <w:r w:rsidR="00C3787C">
        <w:t>DeFI</w:t>
      </w:r>
      <w:proofErr w:type="spellEnd"/>
      <w:r w:rsidR="005278B9">
        <w:t xml:space="preserve"> </w:t>
      </w:r>
      <w:r w:rsidR="00C3787C">
        <w:t xml:space="preserve">som udgangspunkt </w:t>
      </w:r>
      <w:r w:rsidR="005278B9">
        <w:t xml:space="preserve">fungerer. Afsnit 4 </w:t>
      </w:r>
      <w:r w:rsidR="00C31228">
        <w:t xml:space="preserve">gennemgår </w:t>
      </w:r>
      <w:r w:rsidR="005278B9">
        <w:t xml:space="preserve">Finanstilsynets tilgang til vurderingen af </w:t>
      </w:r>
      <w:proofErr w:type="spellStart"/>
      <w:r w:rsidR="005278B9">
        <w:t>decentralitet</w:t>
      </w:r>
      <w:proofErr w:type="spellEnd"/>
      <w:r w:rsidR="005278B9">
        <w:t xml:space="preserve">, </w:t>
      </w:r>
      <w:r w:rsidR="00C31228">
        <w:t xml:space="preserve">blandt andet </w:t>
      </w:r>
      <w:r w:rsidR="005278B9">
        <w:t xml:space="preserve">nødvendigheden af at kunne identificere et </w:t>
      </w:r>
      <w:proofErr w:type="spellStart"/>
      <w:r w:rsidR="005278B9">
        <w:t>retssubjekt</w:t>
      </w:r>
      <w:proofErr w:type="spellEnd"/>
      <w:r w:rsidR="005278B9">
        <w:t xml:space="preserve"> bag udbuddet og af at kunne identificere den konkrete aktivitet</w:t>
      </w:r>
      <w:r w:rsidR="00C31228">
        <w:t>, som</w:t>
      </w:r>
      <w:r w:rsidR="005278B9">
        <w:t xml:space="preserve"> et </w:t>
      </w:r>
      <w:proofErr w:type="spellStart"/>
      <w:r w:rsidR="005278B9">
        <w:t>retssubjekt</w:t>
      </w:r>
      <w:proofErr w:type="spellEnd"/>
      <w:r w:rsidR="005278B9">
        <w:t xml:space="preserve"> </w:t>
      </w:r>
      <w:r w:rsidR="00242C59">
        <w:t>råder</w:t>
      </w:r>
      <w:r w:rsidR="005278B9">
        <w:t xml:space="preserve"> over.</w:t>
      </w:r>
      <w:r w:rsidR="00E10433">
        <w:t xml:space="preserve"> </w:t>
      </w:r>
      <w:r w:rsidR="00C31228">
        <w:t>A</w:t>
      </w:r>
      <w:r w:rsidR="005278B9">
        <w:t>fsnit 5 gennemgå</w:t>
      </w:r>
      <w:r w:rsidR="00C31228">
        <w:t>r</w:t>
      </w:r>
      <w:r w:rsidR="005278B9">
        <w:t xml:space="preserve"> Finanstilsynets principper for vurdering af </w:t>
      </w:r>
      <w:proofErr w:type="spellStart"/>
      <w:r w:rsidR="005278B9">
        <w:t>decentralitet</w:t>
      </w:r>
      <w:proofErr w:type="spellEnd"/>
      <w:r w:rsidR="005278B9">
        <w:t xml:space="preserve"> under </w:t>
      </w:r>
      <w:proofErr w:type="spellStart"/>
      <w:r w:rsidR="005278B9">
        <w:t>MiCA</w:t>
      </w:r>
      <w:proofErr w:type="spellEnd"/>
      <w:r w:rsidR="005278B9">
        <w:t>.</w:t>
      </w:r>
    </w:p>
    <w:p w14:paraId="58052709" w14:textId="6928625B" w:rsidR="006F5E09" w:rsidRDefault="006F5E09" w:rsidP="006F5E09">
      <w:pPr>
        <w:pStyle w:val="Overskrift1"/>
      </w:pPr>
      <w:bookmarkStart w:id="5" w:name="start"/>
      <w:bookmarkStart w:id="6" w:name="_Toc170130137"/>
      <w:bookmarkEnd w:id="5"/>
      <w:r>
        <w:lastRenderedPageBreak/>
        <w:t>2. Baggrund</w:t>
      </w:r>
      <w:bookmarkEnd w:id="6"/>
    </w:p>
    <w:p w14:paraId="17444DF2" w14:textId="4942E569" w:rsidR="003A394A" w:rsidRDefault="006F5E09" w:rsidP="006F5E09">
      <w:pPr>
        <w:pStyle w:val="Brdtekst"/>
      </w:pPr>
      <w:proofErr w:type="spellStart"/>
      <w:r w:rsidRPr="00EA4852">
        <w:t>MiCA</w:t>
      </w:r>
      <w:proofErr w:type="spellEnd"/>
      <w:r w:rsidR="00E8431D">
        <w:t>, der</w:t>
      </w:r>
      <w:r>
        <w:t xml:space="preserve"> </w:t>
      </w:r>
      <w:r w:rsidR="00295CEC">
        <w:t>træder i kraft</w:t>
      </w:r>
      <w:r w:rsidRPr="00EA4852">
        <w:t xml:space="preserve"> </w:t>
      </w:r>
      <w:r w:rsidR="00C4304E">
        <w:t xml:space="preserve">den </w:t>
      </w:r>
      <w:r w:rsidR="00295CEC">
        <w:t>30. december</w:t>
      </w:r>
      <w:r w:rsidR="00295CEC" w:rsidRPr="00EA4852">
        <w:t xml:space="preserve"> </w:t>
      </w:r>
      <w:r w:rsidRPr="00EA4852">
        <w:t>2024</w:t>
      </w:r>
      <w:r w:rsidR="00E8431D">
        <w:t xml:space="preserve">, </w:t>
      </w:r>
      <w:r w:rsidRPr="00EA4852">
        <w:t>har til formål at regulere</w:t>
      </w:r>
      <w:r>
        <w:t xml:space="preserve"> </w:t>
      </w:r>
      <w:r w:rsidR="00F22F96">
        <w:t>visse</w:t>
      </w:r>
      <w:r>
        <w:t xml:space="preserve"> udstedere af </w:t>
      </w:r>
      <w:proofErr w:type="spellStart"/>
      <w:r>
        <w:t>kryptoaktiver</w:t>
      </w:r>
      <w:proofErr w:type="spellEnd"/>
      <w:r>
        <w:t xml:space="preserve"> og udbydere af tjenesteydelser med </w:t>
      </w:r>
      <w:proofErr w:type="spellStart"/>
      <w:r>
        <w:t>kryptoaktiver</w:t>
      </w:r>
      <w:proofErr w:type="spellEnd"/>
      <w:r w:rsidRPr="00EA4852">
        <w:t xml:space="preserve">. </w:t>
      </w:r>
      <w:r>
        <w:t xml:space="preserve">Forordningen omfatter det </w:t>
      </w:r>
      <w:proofErr w:type="spellStart"/>
      <w:r w:rsidRPr="00EA4852">
        <w:t>retssubjekt</w:t>
      </w:r>
      <w:proofErr w:type="spellEnd"/>
      <w:r w:rsidRPr="00EA4852">
        <w:t>, der udbyder de</w:t>
      </w:r>
      <w:r w:rsidR="00B516BB">
        <w:t>n regulerede</w:t>
      </w:r>
      <w:r w:rsidR="00F22F96">
        <w:t xml:space="preserve"> </w:t>
      </w:r>
      <w:r>
        <w:t>aktivitet</w:t>
      </w:r>
      <w:r w:rsidRPr="00EA4852">
        <w:t xml:space="preserve">. </w:t>
      </w:r>
      <w:r>
        <w:t xml:space="preserve">Forordningen omfatter </w:t>
      </w:r>
      <w:r w:rsidRPr="00EA4852">
        <w:t>omvendt ikke udbuddet af</w:t>
      </w:r>
      <w:r>
        <w:t xml:space="preserve"> ellers</w:t>
      </w:r>
      <w:r w:rsidRPr="00EA4852">
        <w:t xml:space="preserve"> regulerede</w:t>
      </w:r>
      <w:r>
        <w:t xml:space="preserve"> aktiviteter</w:t>
      </w:r>
      <w:r w:rsidRPr="00EA4852">
        <w:t xml:space="preserve">, </w:t>
      </w:r>
      <w:r>
        <w:t>hvis</w:t>
      </w:r>
      <w:r w:rsidRPr="00EA4852">
        <w:t xml:space="preserve"> </w:t>
      </w:r>
      <w:r>
        <w:t xml:space="preserve">de </w:t>
      </w:r>
      <w:r w:rsidRPr="00EA4852">
        <w:t>udbydes fuldstændig decentralt</w:t>
      </w:r>
      <w:r w:rsidRPr="00EA4852">
        <w:rPr>
          <w:rFonts w:eastAsia="Arial"/>
        </w:rPr>
        <w:t>.</w:t>
      </w:r>
      <w:r w:rsidRPr="00EA4852">
        <w:t xml:space="preserve"> </w:t>
      </w:r>
    </w:p>
    <w:p w14:paraId="7DF81DC8" w14:textId="77777777" w:rsidR="00A63506" w:rsidRDefault="00A63506" w:rsidP="006F5E09">
      <w:pPr>
        <w:pStyle w:val="Brdtekst"/>
      </w:pPr>
    </w:p>
    <w:p w14:paraId="08827495" w14:textId="6B11C382" w:rsidR="006F5E09" w:rsidRDefault="000A1AA7" w:rsidP="006F5E09">
      <w:pPr>
        <w:pStyle w:val="Brdtekst"/>
      </w:pPr>
      <w:r>
        <w:t>Det fremgår a</w:t>
      </w:r>
      <w:r w:rsidR="00295CEC">
        <w:t>f</w:t>
      </w:r>
      <w:r w:rsidR="006F5E09" w:rsidRPr="00EA4852">
        <w:t xml:space="preserve"> forordningens præambelbetragtning nr. 22</w:t>
      </w:r>
      <w:r w:rsidR="00295CEC">
        <w:t>:</w:t>
      </w:r>
      <w:r w:rsidR="006F5E09" w:rsidRPr="00EA4852">
        <w:t xml:space="preserve"> </w:t>
      </w:r>
    </w:p>
    <w:p w14:paraId="07C3A663" w14:textId="77777777" w:rsidR="004B476E" w:rsidRPr="00EA4852" w:rsidRDefault="004B476E" w:rsidP="006F5E09">
      <w:pPr>
        <w:pStyle w:val="Brdtekst"/>
      </w:pPr>
    </w:p>
    <w:p w14:paraId="359C581A" w14:textId="77777777" w:rsidR="006F5E09" w:rsidRPr="00EA4852" w:rsidRDefault="006F5E09" w:rsidP="006F5E09">
      <w:pPr>
        <w:pStyle w:val="Brdtekst"/>
        <w:ind w:left="284" w:right="310"/>
        <w:rPr>
          <w:i/>
        </w:rPr>
      </w:pPr>
      <w:r w:rsidRPr="00EA4852">
        <w:rPr>
          <w:i/>
        </w:rPr>
        <w:t xml:space="preserve">”Denne forordning bør finde anvendelse på fysiske og juridiske personer og visse andre virksomheder og på de </w:t>
      </w:r>
      <w:proofErr w:type="spellStart"/>
      <w:r w:rsidRPr="00EA4852">
        <w:rPr>
          <w:i/>
        </w:rPr>
        <w:t>kryptotjenester</w:t>
      </w:r>
      <w:proofErr w:type="spellEnd"/>
      <w:r w:rsidRPr="00EA4852">
        <w:rPr>
          <w:i/>
        </w:rPr>
        <w:t xml:space="preserve"> og -</w:t>
      </w:r>
      <w:r>
        <w:rPr>
          <w:i/>
        </w:rPr>
        <w:t>aktiviteter</w:t>
      </w:r>
      <w:r w:rsidRPr="00EA4852">
        <w:rPr>
          <w:i/>
        </w:rPr>
        <w:t xml:space="preserve">, som de udfører, leverer eller kontrollerer direkte eller indirekte, herunder når en del af de pågældende aktiviteter eller tjenester udføres decentralt. Hvis </w:t>
      </w:r>
      <w:proofErr w:type="spellStart"/>
      <w:r w:rsidRPr="00EA4852">
        <w:rPr>
          <w:i/>
        </w:rPr>
        <w:t>kryptoaktivtjenester</w:t>
      </w:r>
      <w:proofErr w:type="spellEnd"/>
      <w:r w:rsidRPr="00EA4852">
        <w:rPr>
          <w:i/>
        </w:rPr>
        <w:t xml:space="preserve"> leveres fuldt ud decentralt uden en formidler, bør de ikke være omfattet af denne forordnings anvendelsesområde. Denne forordning omfatter de rettigheder og forpligtelser, der gælder for udstedere af </w:t>
      </w:r>
      <w:proofErr w:type="spellStart"/>
      <w:r w:rsidRPr="00EA4852">
        <w:rPr>
          <w:i/>
        </w:rPr>
        <w:t>kryptoaktiver</w:t>
      </w:r>
      <w:proofErr w:type="spellEnd"/>
      <w:r w:rsidRPr="00EA4852">
        <w:rPr>
          <w:i/>
        </w:rPr>
        <w:t xml:space="preserve">, udbydere, personer, der anmoder om optagelse til handel af </w:t>
      </w:r>
      <w:proofErr w:type="spellStart"/>
      <w:r w:rsidRPr="00EA4852">
        <w:rPr>
          <w:i/>
        </w:rPr>
        <w:t>kryptoaktiver</w:t>
      </w:r>
      <w:proofErr w:type="spellEnd"/>
      <w:r w:rsidRPr="00EA4852">
        <w:rPr>
          <w:i/>
        </w:rPr>
        <w:t xml:space="preserve">, og udbydere af </w:t>
      </w:r>
      <w:proofErr w:type="spellStart"/>
      <w:r w:rsidRPr="00EA4852">
        <w:rPr>
          <w:i/>
        </w:rPr>
        <w:t>kryptoaktivtjenester</w:t>
      </w:r>
      <w:proofErr w:type="spellEnd"/>
      <w:r w:rsidRPr="00EA4852">
        <w:rPr>
          <w:i/>
        </w:rPr>
        <w:t xml:space="preserve">. Hvis </w:t>
      </w:r>
      <w:proofErr w:type="spellStart"/>
      <w:r w:rsidRPr="00EA4852">
        <w:rPr>
          <w:i/>
        </w:rPr>
        <w:t>kryptoaktiver</w:t>
      </w:r>
      <w:proofErr w:type="spellEnd"/>
      <w:r w:rsidRPr="00EA4852">
        <w:rPr>
          <w:i/>
        </w:rPr>
        <w:t xml:space="preserve"> ikke har nogen identificerbar udsteder, bør de ikke være omfattet af denne forordnings afsnit II, III eller IV. Udbydere af </w:t>
      </w:r>
      <w:proofErr w:type="spellStart"/>
      <w:r w:rsidRPr="00EA4852">
        <w:rPr>
          <w:i/>
        </w:rPr>
        <w:t>kryptoaktivtjenester</w:t>
      </w:r>
      <w:proofErr w:type="spellEnd"/>
      <w:r w:rsidRPr="00EA4852">
        <w:rPr>
          <w:i/>
        </w:rPr>
        <w:t xml:space="preserve">, der leverer tjenester i forbindelse med sådanne </w:t>
      </w:r>
      <w:proofErr w:type="spellStart"/>
      <w:r w:rsidRPr="00EA4852">
        <w:rPr>
          <w:i/>
        </w:rPr>
        <w:t>kryptoaktiver</w:t>
      </w:r>
      <w:proofErr w:type="spellEnd"/>
      <w:r w:rsidRPr="00EA4852">
        <w:rPr>
          <w:i/>
        </w:rPr>
        <w:t xml:space="preserve">, bør dog være omfattet af denne forordning.” </w:t>
      </w:r>
    </w:p>
    <w:p w14:paraId="49EC9C9C" w14:textId="77777777" w:rsidR="006F5E09" w:rsidRPr="00EA4852" w:rsidRDefault="006F5E09" w:rsidP="006F5E09">
      <w:pPr>
        <w:pStyle w:val="Brdtekst"/>
        <w:ind w:left="284" w:right="310"/>
      </w:pPr>
    </w:p>
    <w:p w14:paraId="4A752B10" w14:textId="139647F4" w:rsidR="003A394A" w:rsidRPr="00EA4852" w:rsidRDefault="006F5E09" w:rsidP="006F5E09">
      <w:pPr>
        <w:pStyle w:val="Brdtekst"/>
      </w:pPr>
      <w:proofErr w:type="spellStart"/>
      <w:r w:rsidRPr="00EA4852">
        <w:t>MiCA</w:t>
      </w:r>
      <w:proofErr w:type="spellEnd"/>
      <w:r w:rsidRPr="00EA4852">
        <w:t xml:space="preserve"> forholder sig ikke til, hvornår en tjeneste kan anses </w:t>
      </w:r>
      <w:r w:rsidR="003A394A">
        <w:t xml:space="preserve">for at </w:t>
      </w:r>
      <w:r w:rsidRPr="00EA4852">
        <w:t xml:space="preserve">være </w:t>
      </w:r>
      <w:r w:rsidR="009E10AA">
        <w:t>fuldt ud (</w:t>
      </w:r>
      <w:r w:rsidR="000A1AA7">
        <w:t>fuldstændig</w:t>
      </w:r>
      <w:r w:rsidR="009E10AA">
        <w:t>)</w:t>
      </w:r>
      <w:r w:rsidR="000A1AA7">
        <w:t xml:space="preserve"> </w:t>
      </w:r>
      <w:r w:rsidR="003A394A" w:rsidRPr="00EA4852">
        <w:t xml:space="preserve">decentralt </w:t>
      </w:r>
      <w:r w:rsidRPr="00EA4852">
        <w:t>udbudt</w:t>
      </w:r>
      <w:r>
        <w:t xml:space="preserve">. </w:t>
      </w:r>
      <w:proofErr w:type="spellStart"/>
      <w:r>
        <w:t>MiCA</w:t>
      </w:r>
      <w:proofErr w:type="spellEnd"/>
      <w:r>
        <w:t xml:space="preserve"> eller andre retsakter indeholder heller ikke </w:t>
      </w:r>
      <w:r w:rsidRPr="00EA4852">
        <w:t xml:space="preserve">en entydig definition </w:t>
      </w:r>
      <w:r w:rsidR="003A394A">
        <w:t>af</w:t>
      </w:r>
      <w:r w:rsidRPr="00EA4852">
        <w:t xml:space="preserve"> </w:t>
      </w:r>
      <w:r>
        <w:t xml:space="preserve">begrebet </w:t>
      </w:r>
      <w:proofErr w:type="spellStart"/>
      <w:r w:rsidRPr="00EA4852">
        <w:t>decentralitet</w:t>
      </w:r>
      <w:proofErr w:type="spellEnd"/>
      <w:r>
        <w:rPr>
          <w:rFonts w:eastAsia="Arial" w:cs="Arial"/>
          <w:color w:val="000000"/>
          <w:szCs w:val="21"/>
        </w:rPr>
        <w:t>.</w:t>
      </w:r>
      <w:r w:rsidRPr="00EA4852">
        <w:t xml:space="preserve"> Der er </w:t>
      </w:r>
      <w:r w:rsidR="003A394A">
        <w:t>dermed</w:t>
      </w:r>
      <w:r>
        <w:t xml:space="preserve"> </w:t>
      </w:r>
      <w:r w:rsidRPr="00EA4852">
        <w:t>tale om et nyt koncept</w:t>
      </w:r>
      <w:r w:rsidR="003A55AA">
        <w:t xml:space="preserve">. </w:t>
      </w:r>
    </w:p>
    <w:p w14:paraId="768D191C" w14:textId="77777777" w:rsidR="006F5E09" w:rsidRPr="00EA4852" w:rsidRDefault="006F5E09" w:rsidP="006F5E09">
      <w:pPr>
        <w:pStyle w:val="Brdtekst"/>
      </w:pPr>
    </w:p>
    <w:p w14:paraId="1E094FD8" w14:textId="5B0442DD" w:rsidR="006F5E09" w:rsidRDefault="006F5E09" w:rsidP="006F5E09">
      <w:pPr>
        <w:pStyle w:val="Brdtekst"/>
      </w:pPr>
      <w:r w:rsidRPr="00EA4852">
        <w:t>Finanstilsynet nedsat</w:t>
      </w:r>
      <w:r>
        <w:t>te</w:t>
      </w:r>
      <w:r w:rsidRPr="00EA4852">
        <w:t xml:space="preserve"> </w:t>
      </w:r>
      <w:r w:rsidR="004828BD">
        <w:t xml:space="preserve">i 2022 </w:t>
      </w:r>
      <w:r w:rsidR="003A55AA">
        <w:t xml:space="preserve">en </w:t>
      </w:r>
      <w:r w:rsidRPr="00EA4852">
        <w:t>arbejdsgruppe for decentral finans</w:t>
      </w:r>
      <w:r w:rsidR="003A55AA">
        <w:t>. Formålet var</w:t>
      </w:r>
      <w:r w:rsidRPr="00EA4852">
        <w:t xml:space="preserve"> at </w:t>
      </w:r>
      <w:r w:rsidR="003A55AA">
        <w:t>fastsætte</w:t>
      </w:r>
      <w:r w:rsidRPr="00EA4852">
        <w:t xml:space="preserve"> </w:t>
      </w:r>
      <w:r>
        <w:t>en række principper, som Finanstilsynet kan l</w:t>
      </w:r>
      <w:r w:rsidR="003A55AA">
        <w:t>ægge</w:t>
      </w:r>
      <w:r>
        <w:t xml:space="preserve"> til grund for vurderingen af</w:t>
      </w:r>
      <w:r w:rsidRPr="00EA4852">
        <w:t xml:space="preserve">, </w:t>
      </w:r>
      <w:r w:rsidR="00F22F96">
        <w:t>hvornår</w:t>
      </w:r>
      <w:r w:rsidR="00F22F96" w:rsidRPr="00EA4852">
        <w:t xml:space="preserve"> </w:t>
      </w:r>
      <w:r>
        <w:t xml:space="preserve">udstedelser og </w:t>
      </w:r>
      <w:r w:rsidRPr="00EA4852">
        <w:t>tjenesteydelser</w:t>
      </w:r>
      <w:r w:rsidR="003A55AA">
        <w:t>, som ellers er</w:t>
      </w:r>
      <w:r w:rsidRPr="00EA4852">
        <w:t xml:space="preserve"> reguleret i </w:t>
      </w:r>
      <w:proofErr w:type="spellStart"/>
      <w:r w:rsidRPr="00EA4852">
        <w:t>MiCA</w:t>
      </w:r>
      <w:proofErr w:type="spellEnd"/>
      <w:r w:rsidR="003A55AA">
        <w:t>,</w:t>
      </w:r>
      <w:r w:rsidRPr="00EA4852">
        <w:t xml:space="preserve"> </w:t>
      </w:r>
      <w:r w:rsidR="00F22F96">
        <w:t>falder udenfor forordningens anvendelsesområde</w:t>
      </w:r>
      <w:r w:rsidR="003A55AA">
        <w:t>,</w:t>
      </w:r>
      <w:r w:rsidR="00F22F96">
        <w:t xml:space="preserve"> fordi de </w:t>
      </w:r>
      <w:r w:rsidRPr="00EA4852">
        <w:t>udbydes</w:t>
      </w:r>
      <w:r w:rsidR="00F22F96">
        <w:t xml:space="preserve"> </w:t>
      </w:r>
      <w:r w:rsidRPr="00EA4852">
        <w:t xml:space="preserve">decentralt. </w:t>
      </w:r>
    </w:p>
    <w:p w14:paraId="2B367DA7" w14:textId="77777777" w:rsidR="006C0E5A" w:rsidRDefault="006C0E5A" w:rsidP="005A4C97">
      <w:pPr>
        <w:rPr>
          <w:rFonts w:cs="Arial"/>
          <w:szCs w:val="21"/>
        </w:rPr>
      </w:pPr>
    </w:p>
    <w:p w14:paraId="19CE7ED2" w14:textId="6450CF3D" w:rsidR="006F5E09" w:rsidRDefault="006F5E09" w:rsidP="006F5E09">
      <w:pPr>
        <w:pStyle w:val="Overskrift1"/>
      </w:pPr>
      <w:bookmarkStart w:id="7" w:name="_Toc170130138"/>
      <w:r>
        <w:t xml:space="preserve">3. </w:t>
      </w:r>
      <w:r w:rsidR="00F5649D">
        <w:t>Arkitekturen</w:t>
      </w:r>
      <w:r>
        <w:t xml:space="preserve"> </w:t>
      </w:r>
      <w:r w:rsidR="003A55AA">
        <w:t>bag</w:t>
      </w:r>
      <w:r>
        <w:t xml:space="preserve"> </w:t>
      </w:r>
      <w:r w:rsidR="003A55AA">
        <w:t>d</w:t>
      </w:r>
      <w:r w:rsidR="003333BA">
        <w:t>e</w:t>
      </w:r>
      <w:r w:rsidR="00045029">
        <w:t xml:space="preserve">central </w:t>
      </w:r>
      <w:r w:rsidR="003A55AA">
        <w:t>f</w:t>
      </w:r>
      <w:r w:rsidR="00045029">
        <w:t>inans</w:t>
      </w:r>
      <w:r w:rsidR="003A55AA">
        <w:t xml:space="preserve"> (</w:t>
      </w:r>
      <w:proofErr w:type="spellStart"/>
      <w:r w:rsidR="003A55AA">
        <w:t>DeFi</w:t>
      </w:r>
      <w:proofErr w:type="spellEnd"/>
      <w:r w:rsidR="003A55AA">
        <w:t>)</w:t>
      </w:r>
      <w:bookmarkEnd w:id="7"/>
    </w:p>
    <w:p w14:paraId="4CFCF9D4" w14:textId="6119BAE2" w:rsidR="00964EBA" w:rsidRDefault="00964EBA" w:rsidP="00964EBA">
      <w:r>
        <w:t xml:space="preserve">DLT-begrebet omfatter forskellige variationer af teknologien, </w:t>
      </w:r>
      <w:r w:rsidR="00124351">
        <w:t xml:space="preserve">som både kan ligne eller kan være </w:t>
      </w:r>
      <w:r>
        <w:t>struktureret anderledes end blockchains. Det gælder f.eks. mere centraliserede variationer eller variationer, der bruger andre metoder for registrering af data i den distribuerede hovedbog</w:t>
      </w:r>
      <w:r>
        <w:rPr>
          <w:iCs/>
        </w:rPr>
        <w:t xml:space="preserve">. </w:t>
      </w:r>
      <w:r>
        <w:t xml:space="preserve">Finanstilsynets principper for vurdering af </w:t>
      </w:r>
      <w:proofErr w:type="spellStart"/>
      <w:r>
        <w:t>decentralitet</w:t>
      </w:r>
      <w:proofErr w:type="spellEnd"/>
      <w:r>
        <w:t xml:space="preserve"> i udbuddet af regulerede aktiviteter tager udgangspunkt i </w:t>
      </w:r>
      <w:r>
        <w:rPr>
          <w:iCs/>
        </w:rPr>
        <w:t>den konventionelle blockchain</w:t>
      </w:r>
      <w:r w:rsidR="00E028DA">
        <w:t>, men principperne kan som udgangspunkt også anvendes på andre variationer af DLT.</w:t>
      </w:r>
    </w:p>
    <w:p w14:paraId="37EC8D67" w14:textId="77777777" w:rsidR="00964EBA" w:rsidRDefault="00964EBA" w:rsidP="00964EBA"/>
    <w:p w14:paraId="35527AD3" w14:textId="77777777" w:rsidR="000A1AA7" w:rsidRDefault="00964EBA" w:rsidP="00860EBD">
      <w:r>
        <w:t>I denne orientering bruges begrebet konventionelle blockchains som samlebetegnelse for blockchains, der er struktureret med et applikationslag</w:t>
      </w:r>
      <w:r w:rsidR="007F795B">
        <w:t xml:space="preserve">, </w:t>
      </w:r>
      <w:r w:rsidR="00E8431D">
        <w:t>som</w:t>
      </w:r>
      <w:r w:rsidR="007F795B">
        <w:t xml:space="preserve"> tillader brug af smartkontrakter, </w:t>
      </w:r>
      <w:r>
        <w:t xml:space="preserve">på samme måde som </w:t>
      </w:r>
      <w:proofErr w:type="spellStart"/>
      <w:r>
        <w:t>Ethereum</w:t>
      </w:r>
      <w:proofErr w:type="spellEnd"/>
      <w:r>
        <w:t xml:space="preserve">. </w:t>
      </w:r>
    </w:p>
    <w:p w14:paraId="66618576" w14:textId="77777777" w:rsidR="000A1AA7" w:rsidRDefault="000A1AA7" w:rsidP="00860EBD"/>
    <w:p w14:paraId="2ACF2E3F" w14:textId="71946E8A" w:rsidR="00F22D4F" w:rsidRDefault="00964EBA" w:rsidP="00860EBD">
      <w:r>
        <w:t xml:space="preserve">I figur 2 opdeles den konventionelle </w:t>
      </w:r>
      <w:r w:rsidR="00F22D4F">
        <w:t>blockchain i tre lag</w:t>
      </w:r>
      <w:r>
        <w:t xml:space="preserve">, og hvert lag forklares efterfølgende enkeltvis. </w:t>
      </w:r>
    </w:p>
    <w:p w14:paraId="6CB5B3BF" w14:textId="77777777" w:rsidR="009E10AA" w:rsidRDefault="009E10AA" w:rsidP="00860EBD"/>
    <w:p w14:paraId="731B96F6" w14:textId="77777777" w:rsidR="00EC2B5A" w:rsidRDefault="00EC2B5A" w:rsidP="00860EBD"/>
    <w:p w14:paraId="293704A6" w14:textId="5B93BFF7" w:rsidR="00F22D4F" w:rsidRDefault="00F22D4F" w:rsidP="00860EBD"/>
    <w:p w14:paraId="57B9FC8C" w14:textId="5269F416" w:rsidR="00860EBD" w:rsidRPr="001D0740" w:rsidRDefault="00860EBD" w:rsidP="00860EBD">
      <w:r w:rsidRPr="001D0740">
        <w:rPr>
          <w:b/>
          <w:bCs/>
        </w:rPr>
        <w:lastRenderedPageBreak/>
        <w:t xml:space="preserve">Figur </w:t>
      </w:r>
      <w:r>
        <w:rPr>
          <w:b/>
          <w:bCs/>
        </w:rPr>
        <w:t>2</w:t>
      </w:r>
      <w:r w:rsidRPr="001D0740">
        <w:rPr>
          <w:b/>
          <w:bCs/>
        </w:rPr>
        <w:t xml:space="preserve"> –</w:t>
      </w:r>
      <w:r>
        <w:rPr>
          <w:b/>
          <w:bCs/>
        </w:rPr>
        <w:t xml:space="preserve"> De tre lag </w:t>
      </w:r>
      <w:r w:rsidR="005E0002">
        <w:rPr>
          <w:b/>
          <w:bCs/>
        </w:rPr>
        <w:t xml:space="preserve">i </w:t>
      </w:r>
      <w:r w:rsidR="000979A0">
        <w:rPr>
          <w:b/>
          <w:bCs/>
        </w:rPr>
        <w:t>den konventionelle blockchain</w:t>
      </w:r>
    </w:p>
    <w:p w14:paraId="151A63A0" w14:textId="5712E93D" w:rsidR="00860EBD" w:rsidRPr="001D0740" w:rsidRDefault="00246D8F" w:rsidP="00860EBD">
      <w:r>
        <w:rPr>
          <w:noProof/>
        </w:rPr>
        <w:drawing>
          <wp:anchor distT="0" distB="0" distL="114300" distR="114300" simplePos="0" relativeHeight="251651072" behindDoc="1" locked="0" layoutInCell="1" allowOverlap="1" wp14:anchorId="3FD90351" wp14:editId="5D770B7C">
            <wp:simplePos x="0" y="0"/>
            <wp:positionH relativeFrom="column">
              <wp:posOffset>-60960</wp:posOffset>
            </wp:positionH>
            <wp:positionV relativeFrom="paragraph">
              <wp:posOffset>70647</wp:posOffset>
            </wp:positionV>
            <wp:extent cx="5401340" cy="1116864"/>
            <wp:effectExtent l="0" t="0" r="0" b="7620"/>
            <wp:wrapNone/>
            <wp:docPr id="2970747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1340" cy="1116864"/>
                    </a:xfrm>
                    <a:prstGeom prst="rect">
                      <a:avLst/>
                    </a:prstGeom>
                    <a:noFill/>
                  </pic:spPr>
                </pic:pic>
              </a:graphicData>
            </a:graphic>
            <wp14:sizeRelH relativeFrom="page">
              <wp14:pctWidth>0</wp14:pctWidth>
            </wp14:sizeRelH>
            <wp14:sizeRelV relativeFrom="page">
              <wp14:pctHeight>0</wp14:pctHeight>
            </wp14:sizeRelV>
          </wp:anchor>
        </w:drawing>
      </w:r>
    </w:p>
    <w:p w14:paraId="306C9FA8" w14:textId="1BFD14C7" w:rsidR="00860EBD" w:rsidRPr="001D0740" w:rsidRDefault="00860EBD" w:rsidP="00860EBD"/>
    <w:p w14:paraId="5235C227" w14:textId="77777777" w:rsidR="00860EBD" w:rsidRPr="001D0740" w:rsidRDefault="00860EBD" w:rsidP="00860EBD"/>
    <w:p w14:paraId="73662F00" w14:textId="77777777" w:rsidR="00860EBD" w:rsidRPr="001D0740" w:rsidRDefault="00860EBD" w:rsidP="00860EBD"/>
    <w:p w14:paraId="3226153A" w14:textId="77777777" w:rsidR="00860EBD" w:rsidRPr="001D0740" w:rsidRDefault="00860EBD" w:rsidP="00860EBD"/>
    <w:p w14:paraId="7A092038" w14:textId="77777777" w:rsidR="00860EBD" w:rsidRPr="008B682F" w:rsidRDefault="00860EBD" w:rsidP="00860EBD">
      <w:pPr>
        <w:rPr>
          <w:sz w:val="18"/>
          <w:szCs w:val="16"/>
        </w:rPr>
      </w:pPr>
    </w:p>
    <w:p w14:paraId="4B25EF7E" w14:textId="77777777" w:rsidR="00860EBD" w:rsidRDefault="00860EBD" w:rsidP="00860EBD">
      <w:pPr>
        <w:rPr>
          <w:b/>
          <w:bCs/>
          <w:sz w:val="18"/>
          <w:szCs w:val="16"/>
        </w:rPr>
      </w:pPr>
    </w:p>
    <w:p w14:paraId="3F64AE92" w14:textId="471CB663" w:rsidR="007F795B" w:rsidRPr="007F795B" w:rsidRDefault="00E8431D" w:rsidP="00860EBD">
      <w:pPr>
        <w:rPr>
          <w:sz w:val="18"/>
          <w:szCs w:val="16"/>
        </w:rPr>
      </w:pPr>
      <w:r>
        <w:rPr>
          <w:b/>
          <w:bCs/>
          <w:sz w:val="18"/>
          <w:szCs w:val="16"/>
        </w:rPr>
        <w:t>Note</w:t>
      </w:r>
      <w:r w:rsidR="007F795B">
        <w:rPr>
          <w:b/>
          <w:bCs/>
          <w:sz w:val="18"/>
          <w:szCs w:val="16"/>
        </w:rPr>
        <w:t xml:space="preserve">: </w:t>
      </w:r>
      <w:r w:rsidR="007F795B" w:rsidRPr="007F795B">
        <w:rPr>
          <w:sz w:val="18"/>
          <w:szCs w:val="16"/>
        </w:rPr>
        <w:t xml:space="preserve">Private brugergrænseflader er som udgangspunkt ikke omfattet af </w:t>
      </w:r>
      <w:proofErr w:type="spellStart"/>
      <w:r w:rsidR="007F795B" w:rsidRPr="007F795B">
        <w:rPr>
          <w:sz w:val="18"/>
          <w:szCs w:val="16"/>
        </w:rPr>
        <w:t>MiCA</w:t>
      </w:r>
      <w:proofErr w:type="spellEnd"/>
      <w:r w:rsidR="007F795B" w:rsidRPr="007F795B">
        <w:rPr>
          <w:sz w:val="18"/>
          <w:szCs w:val="16"/>
        </w:rPr>
        <w:t>.</w:t>
      </w:r>
    </w:p>
    <w:p w14:paraId="09618506" w14:textId="092BFB25" w:rsidR="00860EBD" w:rsidRPr="001D0740" w:rsidRDefault="00860EBD" w:rsidP="00860EBD">
      <w:pPr>
        <w:rPr>
          <w:sz w:val="18"/>
          <w:szCs w:val="16"/>
        </w:rPr>
      </w:pPr>
      <w:r w:rsidRPr="001D0740">
        <w:rPr>
          <w:b/>
          <w:bCs/>
          <w:sz w:val="18"/>
          <w:szCs w:val="16"/>
        </w:rPr>
        <w:t xml:space="preserve">Kilde: </w:t>
      </w:r>
      <w:r w:rsidRPr="001D0740">
        <w:rPr>
          <w:sz w:val="18"/>
          <w:szCs w:val="16"/>
        </w:rPr>
        <w:t xml:space="preserve">Finanstilsynet </w:t>
      </w:r>
    </w:p>
    <w:p w14:paraId="03C0B730" w14:textId="77777777" w:rsidR="00860EBD" w:rsidRDefault="00860EBD" w:rsidP="00537453"/>
    <w:p w14:paraId="50C9A0F7" w14:textId="5C4055ED" w:rsidR="00860EBD" w:rsidRPr="00586DB5" w:rsidRDefault="00787E27" w:rsidP="00860EBD">
      <w:r>
        <w:t xml:space="preserve">Infrastrukturlaget udgør det underliggende register, </w:t>
      </w:r>
      <w:r w:rsidR="00AD3F8C">
        <w:t xml:space="preserve">hvor et sæt af </w:t>
      </w:r>
      <w:proofErr w:type="spellStart"/>
      <w:r w:rsidR="00AD3F8C">
        <w:t>netknudepunkter</w:t>
      </w:r>
      <w:proofErr w:type="spellEnd"/>
      <w:r w:rsidR="00AD3F8C">
        <w:t xml:space="preserve"> </w:t>
      </w:r>
      <w:r>
        <w:t xml:space="preserve">afvikler og registrerer transaktioner </w:t>
      </w:r>
      <w:r w:rsidR="00AD3F8C">
        <w:t>ved brug af en konsensusmekanisme</w:t>
      </w:r>
      <w:r>
        <w:t xml:space="preserve">, jf. bilag 1.1. </w:t>
      </w:r>
      <w:r w:rsidR="00860EBD">
        <w:t>Applikationslaget muliggør udstedelsen af smartkontrakter</w:t>
      </w:r>
      <w:r w:rsidR="00F22D4F">
        <w:t>. Smartkontrakter er</w:t>
      </w:r>
      <w:r w:rsidR="00860EBD">
        <w:t xml:space="preserve"> softwareprogrammer,</w:t>
      </w:r>
      <w:r w:rsidR="00F22D4F">
        <w:t xml:space="preserve"> der</w:t>
      </w:r>
      <w:r w:rsidR="00860EBD">
        <w:t xml:space="preserve"> </w:t>
      </w:r>
      <w:r w:rsidR="00964EBA">
        <w:t>er</w:t>
      </w:r>
      <w:r w:rsidR="00F22D4F">
        <w:t xml:space="preserve"> </w:t>
      </w:r>
      <w:r w:rsidR="001C32AE">
        <w:t>tilgængelig</w:t>
      </w:r>
      <w:r w:rsidR="00F22D4F">
        <w:t>e</w:t>
      </w:r>
      <w:r w:rsidR="001C32AE">
        <w:t xml:space="preserve"> på blockchainen</w:t>
      </w:r>
      <w:r w:rsidR="00F22D4F">
        <w:t>,</w:t>
      </w:r>
      <w:r w:rsidR="001C32AE">
        <w:t xml:space="preserve"> og </w:t>
      </w:r>
      <w:r w:rsidR="00F22D4F">
        <w:t>som</w:t>
      </w:r>
      <w:r w:rsidR="00511F1F">
        <w:t xml:space="preserve"> bl.a.</w:t>
      </w:r>
      <w:r w:rsidR="00F22D4F">
        <w:t xml:space="preserve"> </w:t>
      </w:r>
      <w:r w:rsidR="00860EBD">
        <w:t>udføre</w:t>
      </w:r>
      <w:r w:rsidR="00964EBA">
        <w:t>r</w:t>
      </w:r>
      <w:r w:rsidR="00860EBD">
        <w:t xml:space="preserve"> </w:t>
      </w:r>
      <w:r w:rsidR="001C0707">
        <w:t xml:space="preserve">de transaktioner </w:t>
      </w:r>
      <w:r w:rsidR="00860EBD">
        <w:t xml:space="preserve">med </w:t>
      </w:r>
      <w:proofErr w:type="spellStart"/>
      <w:r w:rsidR="00860EBD">
        <w:t>kryptoaktiver</w:t>
      </w:r>
      <w:proofErr w:type="spellEnd"/>
      <w:r w:rsidR="00860EBD">
        <w:t xml:space="preserve">, </w:t>
      </w:r>
      <w:r w:rsidR="00F22D4F">
        <w:t xml:space="preserve">som </w:t>
      </w:r>
      <w:r w:rsidR="00860EBD">
        <w:t xml:space="preserve">udvikleren </w:t>
      </w:r>
      <w:r w:rsidR="00964EBA">
        <w:t>har programmeret dem til at udføre</w:t>
      </w:r>
      <w:r w:rsidR="00860EBD">
        <w:t xml:space="preserve">, jf. bilag 1.2. </w:t>
      </w:r>
      <w:r w:rsidR="001C0707">
        <w:t>Smartkontrakter</w:t>
      </w:r>
      <w:r>
        <w:t xml:space="preserve"> </w:t>
      </w:r>
      <w:r w:rsidR="00F22D4F">
        <w:t xml:space="preserve">gør det også </w:t>
      </w:r>
      <w:r w:rsidR="00860EBD">
        <w:t>mulig</w:t>
      </w:r>
      <w:r w:rsidR="00F22D4F">
        <w:t xml:space="preserve">t for </w:t>
      </w:r>
      <w:r w:rsidR="00860EBD">
        <w:t xml:space="preserve">brugere </w:t>
      </w:r>
      <w:r w:rsidR="00F22D4F">
        <w:t xml:space="preserve">at </w:t>
      </w:r>
      <w:r w:rsidR="00860EBD">
        <w:t xml:space="preserve">udstede egne </w:t>
      </w:r>
      <w:proofErr w:type="spellStart"/>
      <w:r w:rsidR="00860EBD">
        <w:t>kryptoaktiver</w:t>
      </w:r>
      <w:proofErr w:type="spellEnd"/>
      <w:r w:rsidR="002B47A3">
        <w:t xml:space="preserve"> på den givne blockchain. Disse </w:t>
      </w:r>
      <w:proofErr w:type="spellStart"/>
      <w:r w:rsidR="002B47A3">
        <w:t>kryptoaktiver</w:t>
      </w:r>
      <w:proofErr w:type="spellEnd"/>
      <w:r w:rsidR="002B47A3">
        <w:t xml:space="preserve"> kaldes </w:t>
      </w:r>
      <w:r>
        <w:t>normal</w:t>
      </w:r>
      <w:r w:rsidR="00F22D4F">
        <w:t>t</w:t>
      </w:r>
      <w:r>
        <w:t xml:space="preserve"> </w:t>
      </w:r>
      <w:proofErr w:type="spellStart"/>
      <w:r>
        <w:t>tokens</w:t>
      </w:r>
      <w:proofErr w:type="spellEnd"/>
      <w:r>
        <w:t xml:space="preserve">. </w:t>
      </w:r>
    </w:p>
    <w:p w14:paraId="4F17E85C" w14:textId="77777777" w:rsidR="00860EBD" w:rsidRDefault="00860EBD" w:rsidP="006F5E09"/>
    <w:p w14:paraId="71375909" w14:textId="61C5FA4A" w:rsidR="001C0707" w:rsidRDefault="006F5E09" w:rsidP="006F5E09">
      <w:r>
        <w:t>For at en bruger kan tilgå tjenester</w:t>
      </w:r>
      <w:r w:rsidR="00860EBD">
        <w:t xml:space="preserve"> på </w:t>
      </w:r>
      <w:r w:rsidR="00625207">
        <w:t xml:space="preserve">en </w:t>
      </w:r>
      <w:r w:rsidR="00860EBD">
        <w:t>blockchain</w:t>
      </w:r>
      <w:r w:rsidR="007E2CB6">
        <w:t>,</w:t>
      </w:r>
      <w:r>
        <w:t xml:space="preserve"> kræver det, at brugeren har adgang til at interagere med applikations</w:t>
      </w:r>
      <w:r w:rsidR="00860EBD">
        <w:t>- eller infrastruktur</w:t>
      </w:r>
      <w:r>
        <w:t>laget. Det</w:t>
      </w:r>
      <w:r w:rsidR="00F22D4F">
        <w:t>te</w:t>
      </w:r>
      <w:r>
        <w:t xml:space="preserve"> sker i praksis gennem brugergrænseflade</w:t>
      </w:r>
      <w:r w:rsidR="00EC4556">
        <w:t>r</w:t>
      </w:r>
      <w:r w:rsidR="00D8609D">
        <w:t>, jf. bilag 1.3</w:t>
      </w:r>
      <w:r>
        <w:t xml:space="preserve">. </w:t>
      </w:r>
      <w:r w:rsidR="00F22D4F">
        <w:t>Begrebet b</w:t>
      </w:r>
      <w:r>
        <w:t xml:space="preserve">rugergrænseflader </w:t>
      </w:r>
      <w:r w:rsidR="00F22D4F">
        <w:t>omfatter både brugergrænseflader, som er</w:t>
      </w:r>
      <w:r w:rsidR="003C590C">
        <w:t xml:space="preserve"> </w:t>
      </w:r>
      <w:r>
        <w:t>tilgængelig</w:t>
      </w:r>
      <w:r w:rsidR="00F22D4F">
        <w:t>e</w:t>
      </w:r>
      <w:r>
        <w:t xml:space="preserve"> for bruger</w:t>
      </w:r>
      <w:r w:rsidR="00EC4556">
        <w:t>e</w:t>
      </w:r>
      <w:r w:rsidR="00F22D4F">
        <w:t>,</w:t>
      </w:r>
      <w:r>
        <w:t xml:space="preserve"> og private brugergrænseflader. </w:t>
      </w:r>
      <w:r w:rsidR="00E948CB">
        <w:t>Private brugergrænseflader</w:t>
      </w:r>
      <w:r>
        <w:t xml:space="preserve"> </w:t>
      </w:r>
      <w:r w:rsidR="001C32AE">
        <w:t xml:space="preserve">omfatter både </w:t>
      </w:r>
      <w:r w:rsidR="00F22D4F">
        <w:t>integrationer, som private brugere selv har udviklet,</w:t>
      </w:r>
      <w:r>
        <w:t xml:space="preserve"> </w:t>
      </w:r>
      <w:r w:rsidR="001C32AE">
        <w:t xml:space="preserve">og </w:t>
      </w:r>
      <w:r>
        <w:t xml:space="preserve">software udviklet af tredjeparter, som brugere kan anvende til at kommunikere med blockchainen. Sidstnævnte anses dog kun som privat, hvis </w:t>
      </w:r>
      <w:r w:rsidR="00EC4556">
        <w:t xml:space="preserve">brugeren </w:t>
      </w:r>
      <w:r w:rsidR="00E948CB">
        <w:t xml:space="preserve">selv </w:t>
      </w:r>
      <w:r w:rsidR="00242C59">
        <w:t>råder</w:t>
      </w:r>
      <w:r w:rsidR="00EC4556">
        <w:t xml:space="preserve"> over </w:t>
      </w:r>
      <w:r>
        <w:t xml:space="preserve">softwaren. </w:t>
      </w:r>
      <w:r w:rsidR="003122E4">
        <w:t>Det at udbyde en</w:t>
      </w:r>
      <w:r>
        <w:t xml:space="preserve"> brugergrænseflade</w:t>
      </w:r>
      <w:r w:rsidR="0005712D">
        <w:t xml:space="preserve"> </w:t>
      </w:r>
      <w:r>
        <w:t>som tjenesteydelse</w:t>
      </w:r>
      <w:r w:rsidR="0005712D">
        <w:t xml:space="preserve"> indebærer derfor</w:t>
      </w:r>
      <w:r>
        <w:t xml:space="preserve">, at </w:t>
      </w:r>
      <w:r w:rsidR="00833BA4">
        <w:t xml:space="preserve">en tredjepart </w:t>
      </w:r>
      <w:r w:rsidR="00242C59">
        <w:t>råder</w:t>
      </w:r>
      <w:r w:rsidR="00833BA4">
        <w:t xml:space="preserve"> over </w:t>
      </w:r>
      <w:r w:rsidR="001C32AE">
        <w:t xml:space="preserve">den </w:t>
      </w:r>
      <w:r w:rsidR="00833BA4">
        <w:t xml:space="preserve">software, som </w:t>
      </w:r>
      <w:r>
        <w:t xml:space="preserve">brugeren </w:t>
      </w:r>
      <w:r w:rsidR="00833BA4">
        <w:t xml:space="preserve">kan anvende til at </w:t>
      </w:r>
      <w:r>
        <w:t xml:space="preserve">interagere med blockchainen. </w:t>
      </w:r>
      <w:r w:rsidR="0005712D">
        <w:t xml:space="preserve">Dette </w:t>
      </w:r>
      <w:r>
        <w:t>vil normal</w:t>
      </w:r>
      <w:r w:rsidR="00E948CB">
        <w:t>t</w:t>
      </w:r>
      <w:r w:rsidR="0005712D">
        <w:t xml:space="preserve"> være tilfældet for brugergrænseflader, der kan tilgås</w:t>
      </w:r>
      <w:r>
        <w:t xml:space="preserve"> gennem en webplatform eller en applikation</w:t>
      </w:r>
      <w:r w:rsidR="003C590C">
        <w:t>,</w:t>
      </w:r>
      <w:r>
        <w:t xml:space="preserve"> </w:t>
      </w:r>
      <w:r w:rsidR="00E948CB">
        <w:t xml:space="preserve">f.eks. </w:t>
      </w:r>
      <w:r>
        <w:t xml:space="preserve">på brugerens smartphone. </w:t>
      </w:r>
    </w:p>
    <w:p w14:paraId="3C34A44D" w14:textId="30BA2C04" w:rsidR="006F5E09" w:rsidRDefault="006F5E09" w:rsidP="006F5E09">
      <w:r>
        <w:t xml:space="preserve"> </w:t>
      </w:r>
    </w:p>
    <w:p w14:paraId="133E321E" w14:textId="0FC8739F" w:rsidR="00BC5AC0" w:rsidRDefault="00BC5AC0" w:rsidP="00BC5AC0">
      <w:pPr>
        <w:pStyle w:val="Overskrift1"/>
      </w:pPr>
      <w:bookmarkStart w:id="8" w:name="_Toc170130139"/>
      <w:r>
        <w:t xml:space="preserve">4. Finanstilsynets tilgang til </w:t>
      </w:r>
      <w:proofErr w:type="spellStart"/>
      <w:r>
        <w:t>decentralitet</w:t>
      </w:r>
      <w:bookmarkEnd w:id="8"/>
      <w:proofErr w:type="spellEnd"/>
    </w:p>
    <w:p w14:paraId="43859292" w14:textId="2A02A430" w:rsidR="00BC5AC0" w:rsidRDefault="00BC5AC0" w:rsidP="001C0707">
      <w:proofErr w:type="spellStart"/>
      <w:r>
        <w:t>MiCA</w:t>
      </w:r>
      <w:proofErr w:type="spellEnd"/>
      <w:r>
        <w:t xml:space="preserve"> regulerer både udstedelser af </w:t>
      </w:r>
      <w:proofErr w:type="spellStart"/>
      <w:r>
        <w:t>kryptoaktiver</w:t>
      </w:r>
      <w:proofErr w:type="spellEnd"/>
      <w:r>
        <w:t xml:space="preserve"> og udb</w:t>
      </w:r>
      <w:r w:rsidR="00A627F0">
        <w:t>uddet</w:t>
      </w:r>
      <w:r>
        <w:t xml:space="preserve"> af </w:t>
      </w:r>
      <w:proofErr w:type="spellStart"/>
      <w:r>
        <w:t>kryptoaktivtjenester</w:t>
      </w:r>
      <w:proofErr w:type="spellEnd"/>
      <w:r>
        <w:t xml:space="preserve"> </w:t>
      </w:r>
      <w:r w:rsidRPr="00625207">
        <w:t>(regulerede aktivitete</w:t>
      </w:r>
      <w:r w:rsidR="007E2CB6" w:rsidRPr="00625207">
        <w:t>r</w:t>
      </w:r>
      <w:r w:rsidRPr="00625207">
        <w:t>)</w:t>
      </w:r>
      <w:r w:rsidR="00D8609D" w:rsidRPr="00625207">
        <w:t>,</w:t>
      </w:r>
      <w:r w:rsidR="00D8609D">
        <w:t xml:space="preserve"> jf. bilag 2</w:t>
      </w:r>
      <w:r>
        <w:t>. Udstedelserne kan</w:t>
      </w:r>
      <w:r w:rsidR="001C0707">
        <w:t xml:space="preserve"> efter </w:t>
      </w:r>
      <w:proofErr w:type="spellStart"/>
      <w:r w:rsidR="001C0707">
        <w:t>MiCA</w:t>
      </w:r>
      <w:proofErr w:type="spellEnd"/>
      <w:r>
        <w:t xml:space="preserve"> opdeles i to typer</w:t>
      </w:r>
      <w:r w:rsidR="00E8431D">
        <w:t xml:space="preserve">; </w:t>
      </w:r>
      <w:r w:rsidR="001C0707">
        <w:t>u</w:t>
      </w:r>
      <w:r>
        <w:t xml:space="preserve">dstedelser af såkaldte </w:t>
      </w:r>
      <w:proofErr w:type="spellStart"/>
      <w:r w:rsidRPr="00645438">
        <w:t>stablecoins</w:t>
      </w:r>
      <w:proofErr w:type="spellEnd"/>
      <w:r w:rsidR="001C0707">
        <w:t xml:space="preserve"> </w:t>
      </w:r>
      <w:r w:rsidR="00690A65">
        <w:t>og</w:t>
      </w:r>
      <w:r w:rsidRPr="00645438">
        <w:t xml:space="preserve"> </w:t>
      </w:r>
      <w:r>
        <w:t xml:space="preserve">udstedelser af andre </w:t>
      </w:r>
      <w:proofErr w:type="spellStart"/>
      <w:r>
        <w:t>kryptoaktiver</w:t>
      </w:r>
      <w:proofErr w:type="spellEnd"/>
      <w:r>
        <w:t>.</w:t>
      </w:r>
    </w:p>
    <w:p w14:paraId="7654C9F8" w14:textId="77777777" w:rsidR="00BC5AC0" w:rsidRDefault="00BC5AC0" w:rsidP="00BC5AC0"/>
    <w:p w14:paraId="2DD5349E" w14:textId="30856483" w:rsidR="00BC5AC0" w:rsidRDefault="00BC5AC0" w:rsidP="00BC5AC0">
      <w:r>
        <w:t xml:space="preserve">Finanstilsynets principper for vurdering af </w:t>
      </w:r>
      <w:proofErr w:type="spellStart"/>
      <w:r>
        <w:t>decentralitet</w:t>
      </w:r>
      <w:proofErr w:type="spellEnd"/>
      <w:r>
        <w:t xml:space="preserve"> </w:t>
      </w:r>
      <w:r w:rsidR="003C590C">
        <w:t>gælder</w:t>
      </w:r>
      <w:r>
        <w:t xml:space="preserve"> </w:t>
      </w:r>
      <w:r w:rsidR="00C531FA">
        <w:t xml:space="preserve">de </w:t>
      </w:r>
      <w:r>
        <w:t>forretningsmodeller</w:t>
      </w:r>
      <w:r w:rsidR="00C531FA">
        <w:t>, som er</w:t>
      </w:r>
      <w:r>
        <w:t xml:space="preserve"> omfattet af </w:t>
      </w:r>
      <w:proofErr w:type="spellStart"/>
      <w:r>
        <w:t>MiCA</w:t>
      </w:r>
      <w:proofErr w:type="spellEnd"/>
      <w:r>
        <w:t xml:space="preserve">. Anden finansiel regulering </w:t>
      </w:r>
      <w:r w:rsidR="00721BC2">
        <w:t xml:space="preserve">indeholder </w:t>
      </w:r>
      <w:r>
        <w:t xml:space="preserve">ikke på samme måde en eksplicit undtagelsesmulighed for </w:t>
      </w:r>
      <w:r w:rsidR="00C531FA">
        <w:t xml:space="preserve">decentralt udbudte </w:t>
      </w:r>
      <w:r>
        <w:t xml:space="preserve">aktiviteter. </w:t>
      </w:r>
      <w:r w:rsidR="00A627F0">
        <w:t>Direktiv om markeder for finansielle instrumenter (</w:t>
      </w:r>
      <w:proofErr w:type="spellStart"/>
      <w:r w:rsidR="0005712D">
        <w:t>MiFID</w:t>
      </w:r>
      <w:proofErr w:type="spellEnd"/>
      <w:r w:rsidR="0005712D">
        <w:t xml:space="preserve"> II</w:t>
      </w:r>
      <w:r w:rsidR="00A627F0">
        <w:t>)</w:t>
      </w:r>
      <w:r w:rsidR="00A627F0">
        <w:rPr>
          <w:rStyle w:val="Fodnotehenvisning"/>
        </w:rPr>
        <w:footnoteReference w:id="2"/>
      </w:r>
      <w:r w:rsidR="0005712D">
        <w:t xml:space="preserve"> indeholder </w:t>
      </w:r>
      <w:r w:rsidR="00C531FA">
        <w:t>f</w:t>
      </w:r>
      <w:r w:rsidR="00625207" w:rsidRPr="00625207">
        <w:t xml:space="preserve">.eks. </w:t>
      </w:r>
      <w:r w:rsidR="00B67671">
        <w:t>ikke</w:t>
      </w:r>
      <w:r w:rsidR="001A7273">
        <w:t xml:space="preserve"> </w:t>
      </w:r>
      <w:r w:rsidR="0005712D">
        <w:t>en præambel</w:t>
      </w:r>
      <w:r w:rsidR="00B67671">
        <w:t xml:space="preserve">, </w:t>
      </w:r>
      <w:r w:rsidR="00625207">
        <w:t>hvor</w:t>
      </w:r>
      <w:r w:rsidR="0005712D">
        <w:t xml:space="preserve">af det fremgår, at </w:t>
      </w:r>
      <w:r w:rsidR="00625207">
        <w:t xml:space="preserve">et </w:t>
      </w:r>
      <w:r w:rsidR="00625207" w:rsidRPr="00625207">
        <w:t>decentralt udbud</w:t>
      </w:r>
      <w:r w:rsidR="00B67671">
        <w:t xml:space="preserve"> af en markedsplads for handel med </w:t>
      </w:r>
      <w:r w:rsidR="00625207" w:rsidRPr="00625207">
        <w:t>traditionelle finansielle instrumenter udstedt på blockchain</w:t>
      </w:r>
      <w:r w:rsidR="0005712D">
        <w:t xml:space="preserve"> er undtaget</w:t>
      </w:r>
      <w:r w:rsidR="00B67671">
        <w:t xml:space="preserve">. </w:t>
      </w:r>
      <w:r w:rsidR="00F22F96">
        <w:t xml:space="preserve">Finanstilsynet </w:t>
      </w:r>
      <w:r w:rsidR="00721BC2">
        <w:t xml:space="preserve">forholder sig </w:t>
      </w:r>
      <w:r w:rsidR="00C531FA">
        <w:t xml:space="preserve">ikke </w:t>
      </w:r>
      <w:r w:rsidR="00721BC2">
        <w:t>nærmere til</w:t>
      </w:r>
      <w:r w:rsidR="00F22F96">
        <w:t xml:space="preserve"> </w:t>
      </w:r>
      <w:r w:rsidR="00C531FA">
        <w:t xml:space="preserve">dette </w:t>
      </w:r>
      <w:r w:rsidR="00F22F96">
        <w:t>i denne orientering</w:t>
      </w:r>
      <w:r w:rsidR="00721BC2">
        <w:t>.</w:t>
      </w:r>
    </w:p>
    <w:p w14:paraId="3D0EF371" w14:textId="43E4F141" w:rsidR="006F1A88" w:rsidRDefault="006F1A88" w:rsidP="00D735A3">
      <w:pPr>
        <w:pStyle w:val="Brdtekst"/>
      </w:pPr>
    </w:p>
    <w:p w14:paraId="28642909" w14:textId="49A5E52F" w:rsidR="006F1A88" w:rsidRDefault="006F1A88" w:rsidP="006F1A88">
      <w:pPr>
        <w:pStyle w:val="Overskrift2"/>
      </w:pPr>
      <w:bookmarkStart w:id="9" w:name="_Toc170130140"/>
      <w:r>
        <w:lastRenderedPageBreak/>
        <w:t>4.</w:t>
      </w:r>
      <w:r w:rsidR="00DE2791">
        <w:t>1</w:t>
      </w:r>
      <w:r>
        <w:t xml:space="preserve">. </w:t>
      </w:r>
      <w:r w:rsidR="00C531FA">
        <w:t>Ikke a</w:t>
      </w:r>
      <w:r w:rsidR="00B867EF">
        <w:t xml:space="preserve">l </w:t>
      </w:r>
      <w:proofErr w:type="spellStart"/>
      <w:r w:rsidR="00B867EF">
        <w:t>DeFI</w:t>
      </w:r>
      <w:proofErr w:type="spellEnd"/>
      <w:r w:rsidR="00B867EF">
        <w:t xml:space="preserve"> er decentralt udbudt</w:t>
      </w:r>
      <w:bookmarkEnd w:id="9"/>
    </w:p>
    <w:p w14:paraId="6FD94A37" w14:textId="78843579" w:rsidR="003516D3" w:rsidDel="005629EC" w:rsidRDefault="003516D3" w:rsidP="00021BC6">
      <w:r>
        <w:t>F</w:t>
      </w:r>
      <w:r w:rsidRPr="00EA4852">
        <w:t xml:space="preserve">igur </w:t>
      </w:r>
      <w:r w:rsidR="00A24145">
        <w:t>3</w:t>
      </w:r>
      <w:r w:rsidRPr="00EA4852">
        <w:t xml:space="preserve"> viser Finanstilsynets grundlæggende </w:t>
      </w:r>
      <w:r w:rsidR="00A81523">
        <w:t xml:space="preserve">kategorisering </w:t>
      </w:r>
      <w:r>
        <w:t xml:space="preserve">af forskellige former </w:t>
      </w:r>
      <w:r w:rsidR="005629EC">
        <w:t>for</w:t>
      </w:r>
      <w:r>
        <w:t xml:space="preserve"> udbud af regulerede aktiviteter på markedet for </w:t>
      </w:r>
      <w:proofErr w:type="spellStart"/>
      <w:r>
        <w:t>kryptoaktiver</w:t>
      </w:r>
      <w:proofErr w:type="spellEnd"/>
      <w:r w:rsidRPr="00EA4852">
        <w:t xml:space="preserve">. </w:t>
      </w:r>
      <w:r w:rsidDel="005629EC">
        <w:t xml:space="preserve">Når regulerede aktiviteter er centralt udbudte </w:t>
      </w:r>
      <w:r w:rsidRPr="00EA4852" w:rsidDel="005629EC">
        <w:t>(</w:t>
      </w:r>
      <w:proofErr w:type="spellStart"/>
      <w:r w:rsidDel="005629EC">
        <w:t>CeFI</w:t>
      </w:r>
      <w:proofErr w:type="spellEnd"/>
      <w:r w:rsidRPr="00EA4852" w:rsidDel="005629EC">
        <w:t>)</w:t>
      </w:r>
      <w:r w:rsidDel="005629EC">
        <w:t xml:space="preserve">, vil et </w:t>
      </w:r>
      <w:proofErr w:type="spellStart"/>
      <w:r w:rsidDel="005629EC">
        <w:t>retssubjekt</w:t>
      </w:r>
      <w:proofErr w:type="spellEnd"/>
      <w:r w:rsidDel="005629EC">
        <w:t xml:space="preserve"> </w:t>
      </w:r>
      <w:r w:rsidR="00242C59" w:rsidDel="005629EC">
        <w:t>råde</w:t>
      </w:r>
      <w:r w:rsidDel="005629EC">
        <w:t xml:space="preserve"> fuldt over aktiviteten.</w:t>
      </w:r>
      <w:r w:rsidR="00297F33" w:rsidDel="005629EC">
        <w:t xml:space="preserve"> D</w:t>
      </w:r>
      <w:r w:rsidDel="005629EC">
        <w:t xml:space="preserve">e regulerede aktiviteter udbydes </w:t>
      </w:r>
      <w:r w:rsidR="00143A6D" w:rsidDel="005629EC">
        <w:t xml:space="preserve">i disse tilfælde </w:t>
      </w:r>
      <w:r w:rsidR="00297F33" w:rsidDel="005629EC">
        <w:t xml:space="preserve">udelukkende </w:t>
      </w:r>
      <w:r w:rsidDel="005629EC">
        <w:t xml:space="preserve">gennem virksomhedernes egne systemer </w:t>
      </w:r>
      <w:r w:rsidR="00143A6D" w:rsidDel="005629EC">
        <w:t xml:space="preserve">og kan ikke tilgås direkte på </w:t>
      </w:r>
      <w:r w:rsidDel="005629EC">
        <w:t xml:space="preserve">en konventionel blockchain. </w:t>
      </w:r>
      <w:r w:rsidR="00297F33" w:rsidDel="005629EC">
        <w:t>Ved et d</w:t>
      </w:r>
      <w:r w:rsidDel="005629EC">
        <w:t>elvist decentral</w:t>
      </w:r>
      <w:r w:rsidR="00297F33" w:rsidDel="005629EC">
        <w:t xml:space="preserve">t udbud af regulerede aktiviteter </w:t>
      </w:r>
      <w:r w:rsidDel="005629EC">
        <w:t>(</w:t>
      </w:r>
      <w:proofErr w:type="spellStart"/>
      <w:r w:rsidDel="005629EC">
        <w:t>CeDeFI</w:t>
      </w:r>
      <w:proofErr w:type="spellEnd"/>
      <w:r w:rsidDel="005629EC">
        <w:t xml:space="preserve">) </w:t>
      </w:r>
      <w:r w:rsidR="00242C59" w:rsidDel="005629EC">
        <w:t>råder</w:t>
      </w:r>
      <w:r w:rsidDel="005629EC">
        <w:t xml:space="preserve"> </w:t>
      </w:r>
      <w:r w:rsidR="00297F33" w:rsidDel="005629EC">
        <w:t xml:space="preserve">et </w:t>
      </w:r>
      <w:proofErr w:type="spellStart"/>
      <w:r w:rsidR="00297F33" w:rsidDel="005629EC">
        <w:t>retssubjekt</w:t>
      </w:r>
      <w:proofErr w:type="spellEnd"/>
      <w:r w:rsidR="00297F33" w:rsidDel="005629EC">
        <w:t xml:space="preserve"> </w:t>
      </w:r>
      <w:r w:rsidR="00CD3803">
        <w:t>også</w:t>
      </w:r>
      <w:r w:rsidR="00CD3803" w:rsidDel="005629EC">
        <w:t xml:space="preserve"> </w:t>
      </w:r>
      <w:r w:rsidDel="005629EC">
        <w:t>over aktiviteter</w:t>
      </w:r>
      <w:r w:rsidR="00297F33" w:rsidDel="005629EC">
        <w:t>ne</w:t>
      </w:r>
      <w:r w:rsidDel="005629EC">
        <w:t xml:space="preserve">. De udbydes </w:t>
      </w:r>
      <w:r w:rsidR="00CD3803">
        <w:t>dog</w:t>
      </w:r>
      <w:r w:rsidDel="005629EC">
        <w:t xml:space="preserve"> </w:t>
      </w:r>
      <w:r w:rsidR="00297F33" w:rsidDel="005629EC">
        <w:t xml:space="preserve">delvist eller helt ved brug af </w:t>
      </w:r>
      <w:r w:rsidDel="005629EC">
        <w:t>smartkontraker</w:t>
      </w:r>
      <w:r w:rsidR="00CD3803">
        <w:t>, som er</w:t>
      </w:r>
      <w:r w:rsidR="009A5DAC" w:rsidDel="005629EC">
        <w:t xml:space="preserve"> tilgængeliggjort gennem applikationslaget</w:t>
      </w:r>
      <w:r w:rsidR="00297F33" w:rsidDel="005629EC">
        <w:t>.</w:t>
      </w:r>
      <w:r w:rsidR="00B867EF" w:rsidDel="005629EC">
        <w:t xml:space="preserve"> Udbuddet af regulerede aktiviteter kan kun klassificeres som decentralt (</w:t>
      </w:r>
      <w:proofErr w:type="spellStart"/>
      <w:r w:rsidR="00B867EF" w:rsidDel="005629EC">
        <w:t>DeFI</w:t>
      </w:r>
      <w:proofErr w:type="spellEnd"/>
      <w:r w:rsidR="00B867EF" w:rsidDel="005629EC">
        <w:t xml:space="preserve">), hvis et </w:t>
      </w:r>
      <w:proofErr w:type="spellStart"/>
      <w:r w:rsidR="00B867EF" w:rsidDel="005629EC">
        <w:t>retssubjekt</w:t>
      </w:r>
      <w:proofErr w:type="spellEnd"/>
      <w:r w:rsidR="00B867EF" w:rsidDel="005629EC">
        <w:t xml:space="preserve"> ikke kan </w:t>
      </w:r>
      <w:r w:rsidR="00242C59" w:rsidDel="005629EC">
        <w:t>råde</w:t>
      </w:r>
      <w:r w:rsidR="00B867EF" w:rsidDel="005629EC">
        <w:t xml:space="preserve"> over aktiviteten.</w:t>
      </w:r>
      <w:r w:rsidR="00143A6D" w:rsidDel="005629EC">
        <w:t xml:space="preserve"> I disse tilfælde vil den regulerede aktivitet eller råderetten over aktiviteten være struktureret gennem brug af smartkontraker</w:t>
      </w:r>
      <w:r w:rsidR="00CD3803">
        <w:t>, som er</w:t>
      </w:r>
      <w:r w:rsidR="00143A6D" w:rsidDel="005629EC">
        <w:t xml:space="preserve"> tilgængeliggjort i applikationslaget.  </w:t>
      </w:r>
    </w:p>
    <w:p w14:paraId="48570950" w14:textId="02E4E285" w:rsidR="006F1A88" w:rsidDel="005629EC" w:rsidRDefault="006F1A88" w:rsidP="00964EBA">
      <w:pPr>
        <w:tabs>
          <w:tab w:val="left" w:pos="5245"/>
        </w:tabs>
      </w:pPr>
    </w:p>
    <w:p w14:paraId="4AA83C12" w14:textId="74C4A2C6" w:rsidR="008665C8" w:rsidDel="005629EC" w:rsidRDefault="0005712D" w:rsidP="00021BC6">
      <w:r>
        <w:t>Et</w:t>
      </w:r>
      <w:r w:rsidR="008665C8" w:rsidDel="005629EC">
        <w:t xml:space="preserve"> </w:t>
      </w:r>
      <w:proofErr w:type="spellStart"/>
      <w:r w:rsidR="008665C8" w:rsidDel="005629EC">
        <w:t>retssubjekt</w:t>
      </w:r>
      <w:proofErr w:type="spellEnd"/>
      <w:r w:rsidR="008665C8" w:rsidDel="005629EC">
        <w:t xml:space="preserve"> kan </w:t>
      </w:r>
      <w:r>
        <w:t xml:space="preserve">desuden </w:t>
      </w:r>
      <w:r w:rsidR="008665C8" w:rsidDel="005629EC">
        <w:t>udvikle og selvstændigt råde over e</w:t>
      </w:r>
      <w:r w:rsidR="005E0002" w:rsidDel="005629EC">
        <w:t>t</w:t>
      </w:r>
      <w:r w:rsidR="008665C8" w:rsidDel="005629EC">
        <w:t xml:space="preserve"> DLT-</w:t>
      </w:r>
      <w:r w:rsidR="005E0002" w:rsidDel="005629EC">
        <w:t>system</w:t>
      </w:r>
      <w:r w:rsidR="008665C8" w:rsidDel="005629EC">
        <w:t>, hvor</w:t>
      </w:r>
      <w:r w:rsidR="005E0002" w:rsidDel="005629EC">
        <w:t>i</w:t>
      </w:r>
      <w:r w:rsidR="008665C8" w:rsidDel="005629EC">
        <w:t xml:space="preserve"> regulerede aktiviteter kan udbydes ved brug af smartkontrakter</w:t>
      </w:r>
      <w:r w:rsidR="008665C8" w:rsidRPr="00EA4852" w:rsidDel="005629EC">
        <w:t xml:space="preserve">. </w:t>
      </w:r>
      <w:r w:rsidR="008665C8" w:rsidDel="005629EC">
        <w:t>Det er som</w:t>
      </w:r>
      <w:r w:rsidR="008665C8" w:rsidRPr="00EA4852" w:rsidDel="005629EC">
        <w:t xml:space="preserve"> udgangspunkt ikke praksis </w:t>
      </w:r>
      <w:r w:rsidR="008665C8" w:rsidDel="005629EC">
        <w:t xml:space="preserve">i dag, </w:t>
      </w:r>
      <w:r w:rsidR="008665C8" w:rsidRPr="00EA4852" w:rsidDel="005629EC">
        <w:t xml:space="preserve">og </w:t>
      </w:r>
      <w:r w:rsidR="005E0002" w:rsidDel="005629EC">
        <w:t>vurderingen af</w:t>
      </w:r>
      <w:r w:rsidR="00CD3803">
        <w:t>,</w:t>
      </w:r>
      <w:r w:rsidR="005E0002" w:rsidDel="005629EC">
        <w:t xml:space="preserve"> </w:t>
      </w:r>
      <w:r w:rsidR="00CD3803">
        <w:t>om</w:t>
      </w:r>
      <w:r w:rsidR="005E0002" w:rsidDel="005629EC">
        <w:t xml:space="preserve"> </w:t>
      </w:r>
      <w:proofErr w:type="spellStart"/>
      <w:r w:rsidR="008665C8" w:rsidDel="005629EC">
        <w:t>retssubjektet</w:t>
      </w:r>
      <w:proofErr w:type="spellEnd"/>
      <w:r w:rsidR="005E0002" w:rsidDel="005629EC">
        <w:t xml:space="preserve"> bag DLT-systemet</w:t>
      </w:r>
      <w:r w:rsidR="008665C8" w:rsidDel="005629EC">
        <w:t xml:space="preserve"> råder over </w:t>
      </w:r>
      <w:r w:rsidR="005E0002" w:rsidDel="005629EC">
        <w:t xml:space="preserve">udbuddet af </w:t>
      </w:r>
      <w:r w:rsidR="008665C8" w:rsidDel="005629EC">
        <w:t>regulerede aktiviteter, er kompleks.</w:t>
      </w:r>
      <w:r w:rsidR="008665C8" w:rsidRPr="00EA4852" w:rsidDel="005629EC">
        <w:t xml:space="preserve"> </w:t>
      </w:r>
      <w:r w:rsidR="008665C8" w:rsidDel="005629EC">
        <w:t xml:space="preserve">Det kan dog ikke afvises, at </w:t>
      </w:r>
      <w:r w:rsidR="005E0002" w:rsidDel="005629EC">
        <w:t xml:space="preserve">et </w:t>
      </w:r>
      <w:proofErr w:type="spellStart"/>
      <w:r w:rsidR="008665C8" w:rsidDel="005629EC">
        <w:t>retssubjekt</w:t>
      </w:r>
      <w:proofErr w:type="spellEnd"/>
      <w:r w:rsidR="005E0002" w:rsidDel="005629EC">
        <w:t xml:space="preserve"> bag udbuddet af et DLT-system </w:t>
      </w:r>
      <w:r w:rsidR="008665C8" w:rsidRPr="00EA4852" w:rsidDel="005629EC">
        <w:t xml:space="preserve">i </w:t>
      </w:r>
      <w:r w:rsidR="008665C8" w:rsidDel="005629EC">
        <w:t xml:space="preserve">nogle </w:t>
      </w:r>
      <w:r w:rsidR="008665C8" w:rsidRPr="00EA4852" w:rsidDel="005629EC">
        <w:t xml:space="preserve">tilfælde </w:t>
      </w:r>
      <w:r w:rsidR="008665C8" w:rsidDel="005629EC">
        <w:t xml:space="preserve">vil kunne gøres til genstand for forpligtigelserne i </w:t>
      </w:r>
      <w:proofErr w:type="spellStart"/>
      <w:r w:rsidR="008665C8" w:rsidDel="005629EC">
        <w:t>MiCA</w:t>
      </w:r>
      <w:proofErr w:type="spellEnd"/>
      <w:r w:rsidR="008665C8" w:rsidRPr="00EA4852" w:rsidDel="005629EC">
        <w:t>.</w:t>
      </w:r>
    </w:p>
    <w:p w14:paraId="1B06A0A9" w14:textId="4CAECC0A" w:rsidR="008665C8" w:rsidDel="005629EC" w:rsidRDefault="008665C8" w:rsidP="00964EBA"/>
    <w:p w14:paraId="093A54A8" w14:textId="240A6C19" w:rsidR="001930DE" w:rsidRPr="00EA4852" w:rsidRDefault="001930DE" w:rsidP="001930DE">
      <w:pPr>
        <w:pStyle w:val="Brdtekst"/>
        <w:rPr>
          <w:b/>
        </w:rPr>
      </w:pPr>
      <w:r w:rsidRPr="00EA4852">
        <w:rPr>
          <w:b/>
        </w:rPr>
        <w:t xml:space="preserve">Figur </w:t>
      </w:r>
      <w:r w:rsidR="00A24145">
        <w:rPr>
          <w:b/>
        </w:rPr>
        <w:t>3</w:t>
      </w:r>
      <w:r w:rsidRPr="00EA4852">
        <w:rPr>
          <w:b/>
        </w:rPr>
        <w:t xml:space="preserve"> –</w:t>
      </w:r>
      <w:r>
        <w:rPr>
          <w:b/>
        </w:rPr>
        <w:t xml:space="preserve"> Forskellige former for udbud </w:t>
      </w:r>
    </w:p>
    <w:p w14:paraId="1DCE567F" w14:textId="1CD32257" w:rsidR="001930DE" w:rsidRDefault="00246D8F" w:rsidP="001930DE">
      <w:pPr>
        <w:pBdr>
          <w:top w:val="nil"/>
          <w:left w:val="nil"/>
          <w:bottom w:val="nil"/>
          <w:right w:val="nil"/>
          <w:between w:val="nil"/>
        </w:pBdr>
        <w:spacing w:line="280" w:lineRule="auto"/>
        <w:rPr>
          <w:b/>
          <w:color w:val="000000"/>
          <w:sz w:val="16"/>
          <w:szCs w:val="16"/>
        </w:rPr>
      </w:pPr>
      <w:r w:rsidRPr="00246D8F">
        <w:rPr>
          <w:b/>
          <w:noProof/>
          <w:color w:val="000000"/>
          <w:sz w:val="16"/>
          <w:szCs w:val="16"/>
        </w:rPr>
        <w:drawing>
          <wp:anchor distT="0" distB="0" distL="114300" distR="114300" simplePos="0" relativeHeight="251652096" behindDoc="1" locked="0" layoutInCell="1" allowOverlap="1" wp14:anchorId="6AD933C7" wp14:editId="422949D5">
            <wp:simplePos x="0" y="0"/>
            <wp:positionH relativeFrom="column">
              <wp:posOffset>3810</wp:posOffset>
            </wp:positionH>
            <wp:positionV relativeFrom="paragraph">
              <wp:posOffset>96993</wp:posOffset>
            </wp:positionV>
            <wp:extent cx="5400040" cy="2720340"/>
            <wp:effectExtent l="0" t="0" r="0" b="0"/>
            <wp:wrapNone/>
            <wp:docPr id="1669850355" name="Billede 1" descr="Et billede, der indeholder tekst, skærmbillede, Font/skrifttype, Grafik&#10;&#10;Automatisk genereret beskrivelse">
              <a:extLst xmlns:a="http://schemas.openxmlformats.org/drawingml/2006/main">
                <a:ext uri="{FF2B5EF4-FFF2-40B4-BE49-F238E27FC236}">
                  <a16:creationId xmlns:a16="http://schemas.microsoft.com/office/drawing/2014/main" id="{DD4BADB5-BF84-9FFE-C2F6-AE6E0A3F4B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50355" name="Billede 1" descr="Et billede, der indeholder tekst, skærmbillede, Font/skrifttype, Grafik&#10;&#10;Automatisk genereret beskrivelse">
                      <a:extLst>
                        <a:ext uri="{FF2B5EF4-FFF2-40B4-BE49-F238E27FC236}">
                          <a16:creationId xmlns:a16="http://schemas.microsoft.com/office/drawing/2014/main" id="{DD4BADB5-BF84-9FFE-C2F6-AE6E0A3F4B65}"/>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00040" cy="2720340"/>
                    </a:xfrm>
                    <a:prstGeom prst="rect">
                      <a:avLst/>
                    </a:prstGeom>
                  </pic:spPr>
                </pic:pic>
              </a:graphicData>
            </a:graphic>
            <wp14:sizeRelH relativeFrom="page">
              <wp14:pctWidth>0</wp14:pctWidth>
            </wp14:sizeRelH>
            <wp14:sizeRelV relativeFrom="page">
              <wp14:pctHeight>0</wp14:pctHeight>
            </wp14:sizeRelV>
          </wp:anchor>
        </w:drawing>
      </w:r>
    </w:p>
    <w:p w14:paraId="0FD91916" w14:textId="77777777" w:rsidR="001930DE" w:rsidRDefault="001930DE" w:rsidP="001930DE">
      <w:pPr>
        <w:rPr>
          <w:b/>
          <w:sz w:val="16"/>
        </w:rPr>
      </w:pPr>
    </w:p>
    <w:p w14:paraId="16A41765" w14:textId="77777777" w:rsidR="001930DE" w:rsidRDefault="001930DE" w:rsidP="001930DE">
      <w:pPr>
        <w:rPr>
          <w:b/>
          <w:sz w:val="16"/>
        </w:rPr>
      </w:pPr>
    </w:p>
    <w:p w14:paraId="30222C39" w14:textId="77777777" w:rsidR="001930DE" w:rsidRDefault="001930DE" w:rsidP="001930DE">
      <w:pPr>
        <w:rPr>
          <w:b/>
          <w:sz w:val="16"/>
        </w:rPr>
      </w:pPr>
    </w:p>
    <w:p w14:paraId="76E799D9" w14:textId="77777777" w:rsidR="001930DE" w:rsidRDefault="001930DE" w:rsidP="001930DE">
      <w:pPr>
        <w:rPr>
          <w:b/>
          <w:sz w:val="16"/>
        </w:rPr>
      </w:pPr>
    </w:p>
    <w:p w14:paraId="2E061C0F" w14:textId="77777777" w:rsidR="001930DE" w:rsidRDefault="001930DE" w:rsidP="001930DE">
      <w:pPr>
        <w:rPr>
          <w:b/>
          <w:sz w:val="16"/>
        </w:rPr>
      </w:pPr>
    </w:p>
    <w:p w14:paraId="3B6F399A" w14:textId="77777777" w:rsidR="001930DE" w:rsidRDefault="001930DE" w:rsidP="001930DE">
      <w:pPr>
        <w:rPr>
          <w:b/>
          <w:sz w:val="16"/>
        </w:rPr>
      </w:pPr>
    </w:p>
    <w:p w14:paraId="35018DBB" w14:textId="77777777" w:rsidR="001930DE" w:rsidRDefault="001930DE" w:rsidP="001930DE">
      <w:pPr>
        <w:rPr>
          <w:b/>
          <w:sz w:val="16"/>
        </w:rPr>
      </w:pPr>
    </w:p>
    <w:p w14:paraId="17A70F09" w14:textId="77777777" w:rsidR="001930DE" w:rsidRDefault="001930DE" w:rsidP="001930DE">
      <w:pPr>
        <w:rPr>
          <w:b/>
          <w:sz w:val="16"/>
        </w:rPr>
      </w:pPr>
    </w:p>
    <w:p w14:paraId="7EF88669" w14:textId="77777777" w:rsidR="001930DE" w:rsidRDefault="001930DE" w:rsidP="001930DE">
      <w:pPr>
        <w:rPr>
          <w:b/>
          <w:sz w:val="16"/>
        </w:rPr>
      </w:pPr>
    </w:p>
    <w:p w14:paraId="1F49688D" w14:textId="77777777" w:rsidR="001930DE" w:rsidRDefault="001930DE" w:rsidP="001930DE">
      <w:pPr>
        <w:rPr>
          <w:b/>
          <w:sz w:val="16"/>
        </w:rPr>
      </w:pPr>
    </w:p>
    <w:p w14:paraId="5E3CAD2E" w14:textId="77777777" w:rsidR="001930DE" w:rsidRDefault="001930DE" w:rsidP="001930DE">
      <w:pPr>
        <w:rPr>
          <w:b/>
          <w:sz w:val="16"/>
        </w:rPr>
      </w:pPr>
    </w:p>
    <w:p w14:paraId="58CCB43F" w14:textId="77777777" w:rsidR="001930DE" w:rsidRDefault="001930DE" w:rsidP="001930DE">
      <w:pPr>
        <w:rPr>
          <w:b/>
          <w:sz w:val="16"/>
        </w:rPr>
      </w:pPr>
    </w:p>
    <w:p w14:paraId="402BBC5D" w14:textId="77777777" w:rsidR="001930DE" w:rsidRDefault="001930DE" w:rsidP="001930DE">
      <w:pPr>
        <w:rPr>
          <w:b/>
          <w:sz w:val="16"/>
        </w:rPr>
      </w:pPr>
    </w:p>
    <w:p w14:paraId="2890779C" w14:textId="77777777" w:rsidR="00246D8F" w:rsidRDefault="001930DE" w:rsidP="001930DE">
      <w:pPr>
        <w:rPr>
          <w:b/>
          <w:sz w:val="18"/>
          <w:szCs w:val="24"/>
        </w:rPr>
      </w:pPr>
      <w:r>
        <w:rPr>
          <w:b/>
          <w:sz w:val="16"/>
        </w:rPr>
        <w:br/>
      </w:r>
    </w:p>
    <w:p w14:paraId="68E60FB4" w14:textId="557FF2BF" w:rsidR="001930DE" w:rsidRDefault="001930DE" w:rsidP="001930DE">
      <w:pPr>
        <w:rPr>
          <w:sz w:val="16"/>
        </w:rPr>
      </w:pPr>
      <w:r w:rsidRPr="00B52CE5">
        <w:rPr>
          <w:b/>
          <w:sz w:val="18"/>
          <w:szCs w:val="24"/>
        </w:rPr>
        <w:t xml:space="preserve">Kilde: </w:t>
      </w:r>
      <w:r w:rsidRPr="00B52CE5">
        <w:rPr>
          <w:sz w:val="18"/>
          <w:szCs w:val="24"/>
        </w:rPr>
        <w:t>Finanstilsynet</w:t>
      </w:r>
    </w:p>
    <w:p w14:paraId="3ABD2149" w14:textId="6AF469BA" w:rsidR="000366A0" w:rsidRDefault="000366A0" w:rsidP="003516D3">
      <w:pPr>
        <w:tabs>
          <w:tab w:val="left" w:pos="5245"/>
        </w:tabs>
      </w:pPr>
    </w:p>
    <w:p w14:paraId="482794BB" w14:textId="4F745619" w:rsidR="00964EBA" w:rsidRDefault="00964EBA" w:rsidP="00964EBA">
      <w:r w:rsidDel="005629EC">
        <w:t xml:space="preserve">Spørgsmålet om, hvilke regulerede aktiviteter et </w:t>
      </w:r>
      <w:proofErr w:type="spellStart"/>
      <w:r w:rsidDel="005629EC">
        <w:t>retssubjekt</w:t>
      </w:r>
      <w:proofErr w:type="spellEnd"/>
      <w:r w:rsidDel="005629EC">
        <w:t xml:space="preserve"> reelt råder over, er også centralt </w:t>
      </w:r>
      <w:r w:rsidR="00CD3803">
        <w:t>i</w:t>
      </w:r>
      <w:r w:rsidDel="005629EC">
        <w:t xml:space="preserve"> Finanstilsynets tilgang til anvendelsesområdet for </w:t>
      </w:r>
      <w:proofErr w:type="spellStart"/>
      <w:r w:rsidDel="005629EC">
        <w:t>MiCA</w:t>
      </w:r>
      <w:proofErr w:type="spellEnd"/>
      <w:r w:rsidR="00350C2D">
        <w:t>. Det at udbyde adgangen til en decentral tjeneste medfører f.eks. ikke nødvendigvis, at udbyderen</w:t>
      </w:r>
      <w:r w:rsidR="00A627F0">
        <w:t xml:space="preserve"> har råderet over</w:t>
      </w:r>
      <w:r w:rsidR="00350C2D">
        <w:t xml:space="preserve"> og der</w:t>
      </w:r>
      <w:r w:rsidR="00A627F0">
        <w:t>m</w:t>
      </w:r>
      <w:r w:rsidR="00350C2D">
        <w:t>ed kan pålægges ansvaret for udbuddet af den pågældende tjeneste.</w:t>
      </w:r>
      <w:r w:rsidDel="005629EC">
        <w:t xml:space="preserve"> Følgende eksempel har til formål at tydeliggøre dette</w:t>
      </w:r>
      <w:r w:rsidR="00CD3803">
        <w:t>. Eksemplet danner</w:t>
      </w:r>
      <w:r w:rsidDel="005629EC">
        <w:t xml:space="preserve"> også udgangspunkt for en konkretisering af Finanstilsynets principper for vurderingen af </w:t>
      </w:r>
      <w:proofErr w:type="spellStart"/>
      <w:r w:rsidDel="005629EC">
        <w:t>decentralitet</w:t>
      </w:r>
      <w:proofErr w:type="spellEnd"/>
      <w:r w:rsidDel="005629EC">
        <w:t xml:space="preserve"> i afsnit 5.  </w:t>
      </w:r>
    </w:p>
    <w:p w14:paraId="5765FE3A" w14:textId="77777777" w:rsidR="00964EBA" w:rsidRDefault="00964EBA" w:rsidP="003516D3">
      <w:pPr>
        <w:tabs>
          <w:tab w:val="left" w:pos="5245"/>
        </w:tabs>
      </w:pPr>
    </w:p>
    <w:p w14:paraId="3C62A862" w14:textId="7C14CE31" w:rsidR="003516D3" w:rsidRDefault="00B867EF" w:rsidP="002C0368">
      <w:pPr>
        <w:pStyle w:val="Overskrift2"/>
      </w:pPr>
      <w:bookmarkStart w:id="10" w:name="_Toc170130141"/>
      <w:bookmarkStart w:id="11" w:name="_Hlk161238439"/>
      <w:r>
        <w:t>4</w:t>
      </w:r>
      <w:r w:rsidR="003516D3">
        <w:t>.</w:t>
      </w:r>
      <w:r>
        <w:t>2.</w:t>
      </w:r>
      <w:r w:rsidR="003516D3">
        <w:t xml:space="preserve"> </w:t>
      </w:r>
      <w:r w:rsidR="00F3321A">
        <w:t xml:space="preserve">Eksempel på </w:t>
      </w:r>
      <w:r w:rsidR="003546E5">
        <w:t xml:space="preserve">reguleret </w:t>
      </w:r>
      <w:r w:rsidR="00F3321A">
        <w:t>tilgængeliggørelse af decentral tjeneste</w:t>
      </w:r>
      <w:bookmarkEnd w:id="10"/>
    </w:p>
    <w:p w14:paraId="508F7A32" w14:textId="1EAAC1A2" w:rsidR="00B867EF" w:rsidRDefault="00F3321A" w:rsidP="00634737">
      <w:r>
        <w:t xml:space="preserve">Brugere </w:t>
      </w:r>
      <w:r w:rsidR="00B867EF" w:rsidRPr="00AF0F92">
        <w:t>tilgå</w:t>
      </w:r>
      <w:r>
        <w:t xml:space="preserve">r typisk markederne for </w:t>
      </w:r>
      <w:proofErr w:type="spellStart"/>
      <w:r>
        <w:t>kryptoaktiver</w:t>
      </w:r>
      <w:proofErr w:type="spellEnd"/>
      <w:r>
        <w:t xml:space="preserve"> </w:t>
      </w:r>
      <w:r w:rsidR="00B867EF" w:rsidRPr="00AF0F92">
        <w:t xml:space="preserve">via en app til mobiltelefonen, der kan downloades via en </w:t>
      </w:r>
      <w:r w:rsidR="00EF1CDB">
        <w:t>a</w:t>
      </w:r>
      <w:r w:rsidR="00B867EF" w:rsidRPr="00AF0F92">
        <w:t>pp</w:t>
      </w:r>
      <w:r w:rsidR="00AA2EA3">
        <w:t xml:space="preserve"> </w:t>
      </w:r>
      <w:r w:rsidR="00B867EF" w:rsidRPr="00AF0F92">
        <w:t xml:space="preserve">store eller en hjemmeside. </w:t>
      </w:r>
      <w:r w:rsidR="00B867EF">
        <w:t xml:space="preserve">Sådanne </w:t>
      </w:r>
      <w:r w:rsidR="006F0634">
        <w:t xml:space="preserve">brugergrænseflader </w:t>
      </w:r>
      <w:r w:rsidR="00B867EF" w:rsidRPr="006F0634">
        <w:t>udgør</w:t>
      </w:r>
      <w:r w:rsidR="00B867EF">
        <w:t xml:space="preserve"> </w:t>
      </w:r>
      <w:r w:rsidR="00EF1CDB">
        <w:t xml:space="preserve">altså </w:t>
      </w:r>
      <w:r w:rsidR="00B867EF">
        <w:lastRenderedPageBreak/>
        <w:t xml:space="preserve">den gængse </w:t>
      </w:r>
      <w:r w:rsidR="006F0634">
        <w:t xml:space="preserve">adgang </w:t>
      </w:r>
      <w:r w:rsidR="00B867EF">
        <w:t>til decentrale</w:t>
      </w:r>
      <w:r>
        <w:t xml:space="preserve"> tjenester</w:t>
      </w:r>
      <w:r w:rsidR="00B867EF">
        <w:t xml:space="preserve">. </w:t>
      </w:r>
      <w:r w:rsidR="00F22F96">
        <w:t xml:space="preserve">Derfor er </w:t>
      </w:r>
      <w:r w:rsidR="009435D6">
        <w:t xml:space="preserve">det </w:t>
      </w:r>
      <w:r w:rsidR="00B867EF">
        <w:t>som udgangspunkt også muligt at identificere en person bag udbuddet af e</w:t>
      </w:r>
      <w:r w:rsidR="00F22F96">
        <w:t>n brugergrænseflade</w:t>
      </w:r>
      <w:r w:rsidR="00B867EF">
        <w:t xml:space="preserve"> som enten udstederen af </w:t>
      </w:r>
      <w:proofErr w:type="spellStart"/>
      <w:r w:rsidR="00B867EF">
        <w:t>app’en</w:t>
      </w:r>
      <w:proofErr w:type="spellEnd"/>
      <w:r w:rsidR="00B867EF">
        <w:t xml:space="preserve"> i app</w:t>
      </w:r>
      <w:r w:rsidR="00AA2EA3">
        <w:t xml:space="preserve"> </w:t>
      </w:r>
      <w:proofErr w:type="spellStart"/>
      <w:r w:rsidR="00B867EF">
        <w:t>store</w:t>
      </w:r>
      <w:r w:rsidR="00AA2EA3">
        <w:t>’en</w:t>
      </w:r>
      <w:proofErr w:type="spellEnd"/>
      <w:r w:rsidR="00B867EF">
        <w:t xml:space="preserve"> eller ejeren af domænet, hvor </w:t>
      </w:r>
      <w:r w:rsidR="006F0634">
        <w:t xml:space="preserve">brugergrænsefladen </w:t>
      </w:r>
      <w:r w:rsidR="00B867EF">
        <w:t xml:space="preserve">kan tilgås. </w:t>
      </w:r>
    </w:p>
    <w:p w14:paraId="06AE8924" w14:textId="4C9D92EB" w:rsidR="00C91A5E" w:rsidRDefault="00C91A5E" w:rsidP="00634737"/>
    <w:p w14:paraId="719F45F9" w14:textId="0E91086A" w:rsidR="00C91A5E" w:rsidRPr="00246D8F" w:rsidRDefault="00C91A5E" w:rsidP="00C91A5E">
      <w:pPr>
        <w:rPr>
          <w:b/>
          <w:bCs/>
        </w:rPr>
      </w:pPr>
      <w:r>
        <w:rPr>
          <w:b/>
          <w:bCs/>
        </w:rPr>
        <w:t xml:space="preserve">Boks 1 </w:t>
      </w:r>
      <w:r w:rsidR="00CD3803">
        <w:rPr>
          <w:b/>
          <w:bCs/>
        </w:rPr>
        <w:t>–</w:t>
      </w:r>
      <w:r>
        <w:rPr>
          <w:b/>
          <w:bCs/>
        </w:rPr>
        <w:t xml:space="preserve"> </w:t>
      </w:r>
      <w:r w:rsidRPr="008C3C47">
        <w:rPr>
          <w:rFonts w:eastAsia="Arial" w:cs="Arial"/>
          <w:b/>
          <w:bCs/>
          <w:color w:val="000000"/>
          <w:szCs w:val="21"/>
        </w:rPr>
        <w:t>Antagelser for eksemplet</w:t>
      </w:r>
      <w:r>
        <w:rPr>
          <w:rStyle w:val="Fodnotehenvisning"/>
          <w:rFonts w:eastAsia="Arial" w:cs="Arial"/>
          <w:b/>
          <w:bCs/>
          <w:color w:val="000000"/>
          <w:szCs w:val="21"/>
        </w:rPr>
        <w:footnoteReference w:id="3"/>
      </w:r>
      <w:r>
        <w:rPr>
          <w:rFonts w:eastAsia="Arial" w:cs="Arial"/>
          <w:b/>
          <w:bCs/>
          <w:color w:val="000000"/>
          <w:szCs w:val="21"/>
          <w:vertAlign w:val="superscript"/>
        </w:rPr>
        <w:t xml:space="preserve">, </w:t>
      </w:r>
      <w:r>
        <w:rPr>
          <w:rStyle w:val="Fodnotehenvisning"/>
          <w:rFonts w:eastAsia="Arial" w:cs="Arial"/>
          <w:b/>
          <w:bCs/>
          <w:color w:val="000000"/>
          <w:szCs w:val="21"/>
        </w:rPr>
        <w:footnoteReference w:id="4"/>
      </w:r>
    </w:p>
    <w:p w14:paraId="064C4C62" w14:textId="353CDF9E" w:rsidR="00C91A5E" w:rsidRDefault="00F71F99" w:rsidP="00C91A5E">
      <w:r>
        <w:rPr>
          <w:noProof/>
        </w:rPr>
        <mc:AlternateContent>
          <mc:Choice Requires="wps">
            <w:drawing>
              <wp:anchor distT="0" distB="0" distL="114300" distR="114300" simplePos="0" relativeHeight="251667456" behindDoc="0" locked="0" layoutInCell="1" allowOverlap="1" wp14:anchorId="752880BC" wp14:editId="4D93AC11">
                <wp:simplePos x="0" y="0"/>
                <wp:positionH relativeFrom="column">
                  <wp:posOffset>243205</wp:posOffset>
                </wp:positionH>
                <wp:positionV relativeFrom="paragraph">
                  <wp:posOffset>92710</wp:posOffset>
                </wp:positionV>
                <wp:extent cx="4860290" cy="3236595"/>
                <wp:effectExtent l="0" t="0" r="0" b="1905"/>
                <wp:wrapNone/>
                <wp:docPr id="1253797877" name="Rektange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3236595"/>
                        </a:xfrm>
                        <a:prstGeom prst="rect">
                          <a:avLst/>
                        </a:prstGeom>
                        <a:solidFill>
                          <a:schemeClr val="bg2">
                            <a:lumMod val="100000"/>
                            <a:lumOff val="0"/>
                          </a:schemeClr>
                        </a:solidFill>
                        <a:ln w="15875">
                          <a:solidFill>
                            <a:schemeClr val="accent1">
                              <a:lumMod val="15000"/>
                              <a:lumOff val="0"/>
                            </a:schemeClr>
                          </a:solidFill>
                          <a:miter lim="800000"/>
                          <a:headEnd/>
                          <a:tailEnd/>
                        </a:ln>
                      </wps:spPr>
                      <wps:txbx>
                        <w:txbxContent>
                          <w:p w14:paraId="04FD6E3E" w14:textId="263F3DF8" w:rsidR="0073045F" w:rsidRDefault="00C91A5E" w:rsidP="00B92DD1">
                            <w:pPr>
                              <w:spacing w:line="279" w:lineRule="auto"/>
                              <w:textDirection w:val="btLr"/>
                              <w:rPr>
                                <w:color w:val="000000" w:themeColor="text1"/>
                              </w:rPr>
                            </w:pPr>
                            <w:r w:rsidRPr="00C91A5E">
                              <w:rPr>
                                <w:color w:val="000000" w:themeColor="text1"/>
                              </w:rPr>
                              <w:t xml:space="preserve">Et traditionelt kapitalselskab udbyder en brugergrænseflade til en decentral handelsplads (DEX). Likviditeten på </w:t>
                            </w:r>
                            <w:proofErr w:type="spellStart"/>
                            <w:r w:rsidRPr="00C91A5E">
                              <w:rPr>
                                <w:color w:val="000000" w:themeColor="text1"/>
                              </w:rPr>
                              <w:t>DEX’en</w:t>
                            </w:r>
                            <w:proofErr w:type="spellEnd"/>
                            <w:r w:rsidRPr="00C91A5E">
                              <w:rPr>
                                <w:color w:val="000000" w:themeColor="text1"/>
                              </w:rPr>
                              <w:t xml:space="preserve"> stilles til rådighed af såkaldte Automated Market Makers</w:t>
                            </w:r>
                            <w:r w:rsidRPr="00C91A5E">
                              <w:rPr>
                                <w:i/>
                                <w:iCs/>
                                <w:color w:val="000000" w:themeColor="text1"/>
                              </w:rPr>
                              <w:t xml:space="preserve"> </w:t>
                            </w:r>
                            <w:r w:rsidRPr="00C91A5E">
                              <w:rPr>
                                <w:color w:val="000000" w:themeColor="text1"/>
                              </w:rPr>
                              <w:t xml:space="preserve">(AMM), der også er udbudt decentralt. Kapitalselskabet råder derfor kun over brugergrænsefladen. </w:t>
                            </w:r>
                          </w:p>
                          <w:p w14:paraId="1E0B7D39" w14:textId="0A35D49C" w:rsidR="0073045F" w:rsidRDefault="0073045F" w:rsidP="00E2026A">
                            <w:pPr>
                              <w:spacing w:line="279" w:lineRule="auto"/>
                              <w:jc w:val="center"/>
                              <w:textDirection w:val="btLr"/>
                              <w:rPr>
                                <w:color w:val="000000" w:themeColor="text1"/>
                              </w:rPr>
                            </w:pPr>
                          </w:p>
                          <w:p w14:paraId="12DC01F0" w14:textId="0306F4B5" w:rsidR="0073045F" w:rsidRPr="00C91A5E" w:rsidRDefault="00E402A4" w:rsidP="00E2026A">
                            <w:pPr>
                              <w:spacing w:line="279" w:lineRule="auto"/>
                              <w:jc w:val="center"/>
                              <w:textDirection w:val="btLr"/>
                              <w:rPr>
                                <w:color w:val="000000" w:themeColor="text1"/>
                              </w:rPr>
                            </w:pPr>
                            <w:r w:rsidRPr="00E402A4">
                              <w:rPr>
                                <w:noProof/>
                                <w:color w:val="000000" w:themeColor="text1"/>
                              </w:rPr>
                              <w:drawing>
                                <wp:inline distT="0" distB="0" distL="0" distR="0" wp14:anchorId="3CE67D99" wp14:editId="3F6585EF">
                                  <wp:extent cx="4221272" cy="2076317"/>
                                  <wp:effectExtent l="0" t="0" r="0" b="0"/>
                                  <wp:docPr id="2" name="Billede 1" descr="Et billede, der indeholder sort, mørke&#10;&#10;Automatisk genereret beskrivelse">
                                    <a:extLst xmlns:a="http://schemas.openxmlformats.org/drawingml/2006/main">
                                      <a:ext uri="{FF2B5EF4-FFF2-40B4-BE49-F238E27FC236}">
                                        <a16:creationId xmlns:a16="http://schemas.microsoft.com/office/drawing/2014/main" id="{FB783B19-B295-E07E-EC2C-D855071BD8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sort, mørke&#10;&#10;Automatisk genereret beskrivelse">
                                            <a:extLst>
                                              <a:ext uri="{FF2B5EF4-FFF2-40B4-BE49-F238E27FC236}">
                                                <a16:creationId xmlns:a16="http://schemas.microsoft.com/office/drawing/2014/main" id="{FB783B19-B295-E07E-EC2C-D855071BD8E2}"/>
                                              </a:ext>
                                            </a:extLst>
                                          </pic:cNvPr>
                                          <pic:cNvPicPr>
                                            <a:picLocks noChangeAspect="1"/>
                                          </pic:cNvPicPr>
                                        </pic:nvPicPr>
                                        <pic:blipFill>
                                          <a:blip r:embed="rId12"/>
                                          <a:stretch>
                                            <a:fillRect/>
                                          </a:stretch>
                                        </pic:blipFill>
                                        <pic:spPr>
                                          <a:xfrm>
                                            <a:off x="0" y="0"/>
                                            <a:ext cx="4229841" cy="2080532"/>
                                          </a:xfrm>
                                          <a:prstGeom prst="rect">
                                            <a:avLst/>
                                          </a:prstGeom>
                                        </pic:spPr>
                                      </pic:pic>
                                    </a:graphicData>
                                  </a:graphic>
                                </wp:inline>
                              </w:drawing>
                            </w:r>
                          </w:p>
                          <w:p w14:paraId="2B2714BD" w14:textId="77777777" w:rsidR="00C91A5E" w:rsidRPr="00C91A5E" w:rsidRDefault="00C91A5E" w:rsidP="00C91A5E">
                            <w:pPr>
                              <w:jc w:val="center"/>
                              <w:rPr>
                                <w:color w:val="000000" w:themeColor="text1"/>
                              </w:rPr>
                            </w:pPr>
                          </w:p>
                        </w:txbxContent>
                      </wps:txbx>
                      <wps:bodyPr rot="0" vert="horz" wrap="square" lIns="91440" tIns="72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2880BC" id="Rektangel 10" o:spid="_x0000_s1028" style="position:absolute;left:0;text-align:left;margin-left:19.15pt;margin-top:7.3pt;width:382.7pt;height:25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" fillcolor="#f0e1cd [3214]" strokecolor="#160000 [484]" strokeweight="1.25pt">
                <v:textbox inset=",2mm">
                  <w:txbxContent>
                    <w:p w14:paraId="04FD6E3E" w14:textId="263F3DF8" w:rsidR="0073045F" w:rsidRDefault="00C91A5E" w:rsidP="00B92DD1">
                      <w:pPr>
                        <w:spacing w:line="279" w:lineRule="auto"/>
                        <w:textDirection w:val="btLr"/>
                        <w:rPr>
                          <w:color w:val="000000" w:themeColor="text1"/>
                        </w:rPr>
                      </w:pPr>
                      <w:r w:rsidRPr="00C91A5E">
                        <w:rPr>
                          <w:color w:val="000000" w:themeColor="text1"/>
                        </w:rPr>
                        <w:t>Et traditionelt kapitalselskab udbyder en brugergrænseflade til en decentral handelsplads (DEX). Likviditeten på DEX’en stilles til rådighed af såkaldte Automated Market Makers</w:t>
                      </w:r>
                      <w:r w:rsidRPr="00C91A5E">
                        <w:rPr>
                          <w:i/>
                          <w:iCs/>
                          <w:color w:val="000000" w:themeColor="text1"/>
                        </w:rPr>
                        <w:t xml:space="preserve"> </w:t>
                      </w:r>
                      <w:r w:rsidRPr="00C91A5E">
                        <w:rPr>
                          <w:color w:val="000000" w:themeColor="text1"/>
                        </w:rPr>
                        <w:t xml:space="preserve">(AMM), der også er udbudt decentralt. Kapitalselskabet råder derfor kun over brugergrænsefladen. </w:t>
                      </w:r>
                    </w:p>
                    <w:p w14:paraId="1E0B7D39" w14:textId="0A35D49C" w:rsidR="0073045F" w:rsidRDefault="0073045F" w:rsidP="00E2026A">
                      <w:pPr>
                        <w:spacing w:line="279" w:lineRule="auto"/>
                        <w:jc w:val="center"/>
                        <w:textDirection w:val="btLr"/>
                        <w:rPr>
                          <w:color w:val="000000" w:themeColor="text1"/>
                        </w:rPr>
                      </w:pPr>
                    </w:p>
                    <w:p w14:paraId="12DC01F0" w14:textId="0306F4B5" w:rsidR="0073045F" w:rsidRPr="00C91A5E" w:rsidRDefault="00E402A4" w:rsidP="00E2026A">
                      <w:pPr>
                        <w:spacing w:line="279" w:lineRule="auto"/>
                        <w:jc w:val="center"/>
                        <w:textDirection w:val="btLr"/>
                        <w:rPr>
                          <w:color w:val="000000" w:themeColor="text1"/>
                        </w:rPr>
                      </w:pPr>
                      <w:r w:rsidRPr="00E402A4">
                        <w:rPr>
                          <w:noProof/>
                          <w:color w:val="000000" w:themeColor="text1"/>
                        </w:rPr>
                        <w:drawing>
                          <wp:inline distT="0" distB="0" distL="0" distR="0" wp14:anchorId="3CE67D99" wp14:editId="3F6585EF">
                            <wp:extent cx="4221272" cy="2076317"/>
                            <wp:effectExtent l="0" t="0" r="0" b="0"/>
                            <wp:docPr id="2" name="Billede 1" descr="Et billede, der indeholder sort, mørke&#10;&#10;Automatisk genereret beskrivelse">
                              <a:extLst xmlns:a="http://schemas.openxmlformats.org/drawingml/2006/main">
                                <a:ext uri="{FF2B5EF4-FFF2-40B4-BE49-F238E27FC236}">
                                  <a16:creationId xmlns:a16="http://schemas.microsoft.com/office/drawing/2014/main" id="{FB783B19-B295-E07E-EC2C-D855071BD8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sort, mørke&#10;&#10;Automatisk genereret beskrivelse">
                                      <a:extLst>
                                        <a:ext uri="{FF2B5EF4-FFF2-40B4-BE49-F238E27FC236}">
                                          <a16:creationId xmlns:a16="http://schemas.microsoft.com/office/drawing/2014/main" id="{FB783B19-B295-E07E-EC2C-D855071BD8E2}"/>
                                        </a:ext>
                                      </a:extLst>
                                    </pic:cNvPr>
                                    <pic:cNvPicPr>
                                      <a:picLocks noChangeAspect="1"/>
                                    </pic:cNvPicPr>
                                  </pic:nvPicPr>
                                  <pic:blipFill>
                                    <a:blip r:embed="rId13"/>
                                    <a:stretch>
                                      <a:fillRect/>
                                    </a:stretch>
                                  </pic:blipFill>
                                  <pic:spPr>
                                    <a:xfrm>
                                      <a:off x="0" y="0"/>
                                      <a:ext cx="4229841" cy="2080532"/>
                                    </a:xfrm>
                                    <a:prstGeom prst="rect">
                                      <a:avLst/>
                                    </a:prstGeom>
                                  </pic:spPr>
                                </pic:pic>
                              </a:graphicData>
                            </a:graphic>
                          </wp:inline>
                        </w:drawing>
                      </w:r>
                    </w:p>
                    <w:p w14:paraId="2B2714BD" w14:textId="77777777" w:rsidR="00C91A5E" w:rsidRPr="00C91A5E" w:rsidRDefault="00C91A5E" w:rsidP="00C91A5E">
                      <w:pPr>
                        <w:jc w:val="center"/>
                        <w:rPr>
                          <w:color w:val="000000" w:themeColor="text1"/>
                        </w:rPr>
                      </w:pPr>
                    </w:p>
                  </w:txbxContent>
                </v:textbox>
              </v:rect>
            </w:pict>
          </mc:Fallback>
        </mc:AlternateContent>
      </w:r>
    </w:p>
    <w:p w14:paraId="381B06DF" w14:textId="77777777" w:rsidR="00C91A5E" w:rsidRDefault="00C91A5E" w:rsidP="00C91A5E"/>
    <w:p w14:paraId="7FE3667C" w14:textId="77777777" w:rsidR="00C91A5E" w:rsidRDefault="00C91A5E" w:rsidP="00C91A5E"/>
    <w:p w14:paraId="51DF9C35" w14:textId="77777777" w:rsidR="00C91A5E" w:rsidRDefault="00C91A5E" w:rsidP="00C91A5E"/>
    <w:p w14:paraId="0A786C28" w14:textId="1697F160" w:rsidR="00C91A5E" w:rsidRDefault="00C91A5E" w:rsidP="00C91A5E"/>
    <w:p w14:paraId="1DF1011A" w14:textId="6A1E97DD" w:rsidR="0073045F" w:rsidRDefault="0073045F" w:rsidP="00C91A5E">
      <w:pPr>
        <w:rPr>
          <w:b/>
          <w:bCs/>
          <w:sz w:val="18"/>
          <w:szCs w:val="18"/>
        </w:rPr>
      </w:pPr>
    </w:p>
    <w:p w14:paraId="33F7501A" w14:textId="77777777" w:rsidR="0073045F" w:rsidRDefault="0073045F" w:rsidP="00C91A5E">
      <w:pPr>
        <w:rPr>
          <w:b/>
          <w:bCs/>
          <w:sz w:val="18"/>
          <w:szCs w:val="18"/>
        </w:rPr>
      </w:pPr>
    </w:p>
    <w:p w14:paraId="43AAB1AD" w14:textId="77777777" w:rsidR="0073045F" w:rsidRDefault="0073045F" w:rsidP="00C91A5E">
      <w:pPr>
        <w:rPr>
          <w:b/>
          <w:bCs/>
          <w:sz w:val="18"/>
          <w:szCs w:val="18"/>
        </w:rPr>
      </w:pPr>
    </w:p>
    <w:p w14:paraId="5AF38146" w14:textId="77777777" w:rsidR="0073045F" w:rsidRDefault="0073045F" w:rsidP="00C91A5E">
      <w:pPr>
        <w:rPr>
          <w:b/>
          <w:bCs/>
          <w:sz w:val="18"/>
          <w:szCs w:val="18"/>
        </w:rPr>
      </w:pPr>
    </w:p>
    <w:p w14:paraId="729912D8" w14:textId="77777777" w:rsidR="0073045F" w:rsidRDefault="0073045F" w:rsidP="00C91A5E">
      <w:pPr>
        <w:rPr>
          <w:b/>
          <w:bCs/>
          <w:sz w:val="18"/>
          <w:szCs w:val="18"/>
        </w:rPr>
      </w:pPr>
    </w:p>
    <w:p w14:paraId="25A3CFEC" w14:textId="77777777" w:rsidR="0073045F" w:rsidRDefault="0073045F" w:rsidP="00C91A5E">
      <w:pPr>
        <w:rPr>
          <w:b/>
          <w:bCs/>
          <w:sz w:val="18"/>
          <w:szCs w:val="18"/>
        </w:rPr>
      </w:pPr>
    </w:p>
    <w:p w14:paraId="78E8FFDB" w14:textId="77777777" w:rsidR="0073045F" w:rsidRDefault="0073045F" w:rsidP="00C91A5E">
      <w:pPr>
        <w:rPr>
          <w:b/>
          <w:bCs/>
          <w:sz w:val="18"/>
          <w:szCs w:val="18"/>
        </w:rPr>
      </w:pPr>
    </w:p>
    <w:p w14:paraId="5F6AC4E9" w14:textId="77777777" w:rsidR="0073045F" w:rsidRDefault="0073045F" w:rsidP="00C91A5E">
      <w:pPr>
        <w:rPr>
          <w:b/>
          <w:bCs/>
          <w:sz w:val="18"/>
          <w:szCs w:val="18"/>
        </w:rPr>
      </w:pPr>
    </w:p>
    <w:p w14:paraId="39B460D3" w14:textId="77777777" w:rsidR="0073045F" w:rsidRDefault="0073045F" w:rsidP="00C91A5E">
      <w:pPr>
        <w:rPr>
          <w:b/>
          <w:bCs/>
          <w:sz w:val="18"/>
          <w:szCs w:val="18"/>
        </w:rPr>
      </w:pPr>
    </w:p>
    <w:p w14:paraId="0D440990" w14:textId="77777777" w:rsidR="0073045F" w:rsidRDefault="0073045F" w:rsidP="00C91A5E">
      <w:pPr>
        <w:rPr>
          <w:b/>
          <w:bCs/>
          <w:sz w:val="18"/>
          <w:szCs w:val="18"/>
        </w:rPr>
      </w:pPr>
    </w:p>
    <w:p w14:paraId="1E66B2C3" w14:textId="77777777" w:rsidR="0073045F" w:rsidRDefault="0073045F" w:rsidP="00C91A5E">
      <w:pPr>
        <w:rPr>
          <w:b/>
          <w:bCs/>
          <w:sz w:val="18"/>
          <w:szCs w:val="18"/>
        </w:rPr>
      </w:pPr>
    </w:p>
    <w:p w14:paraId="3CBEE6F9" w14:textId="77777777" w:rsidR="0073045F" w:rsidRDefault="0073045F" w:rsidP="00C91A5E">
      <w:pPr>
        <w:rPr>
          <w:b/>
          <w:bCs/>
          <w:sz w:val="18"/>
          <w:szCs w:val="18"/>
        </w:rPr>
      </w:pPr>
    </w:p>
    <w:p w14:paraId="0A2DA4BF" w14:textId="77777777" w:rsidR="0073045F" w:rsidRDefault="0073045F" w:rsidP="00C91A5E">
      <w:pPr>
        <w:rPr>
          <w:b/>
          <w:bCs/>
          <w:sz w:val="18"/>
          <w:szCs w:val="18"/>
        </w:rPr>
      </w:pPr>
    </w:p>
    <w:p w14:paraId="410FDA8E" w14:textId="77777777" w:rsidR="000E622B" w:rsidRDefault="000E622B" w:rsidP="00C91A5E">
      <w:pPr>
        <w:rPr>
          <w:b/>
          <w:bCs/>
          <w:sz w:val="18"/>
          <w:szCs w:val="18"/>
        </w:rPr>
      </w:pPr>
    </w:p>
    <w:p w14:paraId="5D735398" w14:textId="1FB01484" w:rsidR="00C91A5E" w:rsidRDefault="00C91A5E" w:rsidP="00C91A5E">
      <w:pPr>
        <w:rPr>
          <w:sz w:val="18"/>
          <w:szCs w:val="18"/>
        </w:rPr>
      </w:pPr>
      <w:r>
        <w:rPr>
          <w:b/>
          <w:bCs/>
          <w:sz w:val="18"/>
          <w:szCs w:val="18"/>
        </w:rPr>
        <w:t xml:space="preserve">Kilde: </w:t>
      </w:r>
      <w:r w:rsidRPr="00C91A5E">
        <w:rPr>
          <w:sz w:val="18"/>
          <w:szCs w:val="18"/>
        </w:rPr>
        <w:t>Finanstilsynet</w:t>
      </w:r>
    </w:p>
    <w:p w14:paraId="0C01CB97" w14:textId="77777777" w:rsidR="006A33FB" w:rsidRPr="00C91A5E" w:rsidRDefault="006A33FB" w:rsidP="00C91A5E">
      <w:pPr>
        <w:rPr>
          <w:b/>
          <w:bCs/>
          <w:sz w:val="20"/>
          <w:szCs w:val="20"/>
        </w:rPr>
      </w:pPr>
    </w:p>
    <w:p w14:paraId="2AEED1E4" w14:textId="3D17E7DB" w:rsidR="00B867EF" w:rsidRDefault="00B867EF" w:rsidP="00B867EF">
      <w:r>
        <w:t xml:space="preserve">De </w:t>
      </w:r>
      <w:r w:rsidR="00F165E4">
        <w:t xml:space="preserve">regulerede aktiviteter, der er relevante </w:t>
      </w:r>
      <w:r>
        <w:t>for eksemplet</w:t>
      </w:r>
      <w:r w:rsidR="00F165E4">
        <w:t>,</w:t>
      </w:r>
      <w:r>
        <w:t xml:space="preserve"> afspejler </w:t>
      </w:r>
      <w:r w:rsidR="009B2047">
        <w:t xml:space="preserve">til en vis udstrækning </w:t>
      </w:r>
      <w:r>
        <w:t xml:space="preserve">allerede eksisterende </w:t>
      </w:r>
      <w:r w:rsidR="00F3321A">
        <w:t>aktiviteter</w:t>
      </w:r>
      <w:r w:rsidR="00F165E4">
        <w:t>, som er</w:t>
      </w:r>
      <w:r w:rsidR="00F3321A">
        <w:t xml:space="preserve"> </w:t>
      </w:r>
      <w:r>
        <w:t xml:space="preserve">reguleret under </w:t>
      </w:r>
      <w:proofErr w:type="spellStart"/>
      <w:r>
        <w:t>MiFID</w:t>
      </w:r>
      <w:proofErr w:type="spellEnd"/>
      <w:r>
        <w:t xml:space="preserve"> II. </w:t>
      </w:r>
      <w:r w:rsidR="008C3C47">
        <w:t xml:space="preserve">Det fremgår også af artikel 60, stk. 3., i </w:t>
      </w:r>
      <w:proofErr w:type="spellStart"/>
      <w:r w:rsidR="008C3C47">
        <w:t>MiCA</w:t>
      </w:r>
      <w:proofErr w:type="spellEnd"/>
      <w:r w:rsidR="008C3C47">
        <w:t xml:space="preserve">. </w:t>
      </w:r>
      <w:r>
        <w:t xml:space="preserve">Den regulatoriske klassificering under </w:t>
      </w:r>
      <w:proofErr w:type="spellStart"/>
      <w:r>
        <w:t>MiFID</w:t>
      </w:r>
      <w:proofErr w:type="spellEnd"/>
      <w:r>
        <w:t xml:space="preserve"> II </w:t>
      </w:r>
      <w:r w:rsidR="00F165E4">
        <w:t>danner derfor</w:t>
      </w:r>
      <w:r>
        <w:t xml:space="preserve"> også </w:t>
      </w:r>
      <w:r w:rsidR="00F165E4">
        <w:t xml:space="preserve">udgangspunkt for </w:t>
      </w:r>
      <w:r>
        <w:t>klassificering</w:t>
      </w:r>
      <w:r w:rsidR="008C3C47">
        <w:t>en</w:t>
      </w:r>
      <w:r>
        <w:t xml:space="preserve"> af lignende aktiviteter under </w:t>
      </w:r>
      <w:proofErr w:type="spellStart"/>
      <w:r>
        <w:t>MiCA</w:t>
      </w:r>
      <w:proofErr w:type="spellEnd"/>
      <w:r>
        <w:t xml:space="preserve">: </w:t>
      </w:r>
    </w:p>
    <w:p w14:paraId="26F6D3C6" w14:textId="77777777" w:rsidR="00B867EF" w:rsidRDefault="00B867EF" w:rsidP="00B867EF"/>
    <w:p w14:paraId="66271264" w14:textId="0822C032" w:rsidR="00B867EF" w:rsidRDefault="00E932EF" w:rsidP="005A12AA">
      <w:pPr>
        <w:pStyle w:val="Listeafsnit"/>
        <w:numPr>
          <w:ilvl w:val="0"/>
          <w:numId w:val="42"/>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t>MiFID</w:t>
      </w:r>
      <w:proofErr w:type="spellEnd"/>
      <w:r>
        <w:t xml:space="preserve"> II: </w:t>
      </w:r>
      <w:r w:rsidR="00B35464">
        <w:t>M</w:t>
      </w:r>
      <w:r w:rsidR="00B867EF">
        <w:t xml:space="preserve">odtagelse og formidling af kundeordrer med et eller flere finansielle instrumenter </w:t>
      </w:r>
    </w:p>
    <w:p w14:paraId="3CF78E05" w14:textId="71D67623" w:rsidR="00CA4911" w:rsidRDefault="00E932EF" w:rsidP="00964EBA">
      <w:pPr>
        <w:pStyle w:val="Listeafsnit"/>
        <w:numPr>
          <w:ilvl w:val="1"/>
          <w:numId w:val="3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t>MiCA</w:t>
      </w:r>
      <w:proofErr w:type="spellEnd"/>
      <w:r>
        <w:t xml:space="preserve">: </w:t>
      </w:r>
      <w:r w:rsidR="00B35464">
        <w:t>M</w:t>
      </w:r>
      <w:r>
        <w:t xml:space="preserve">odtagelse og formidling af ordrer vedrørende </w:t>
      </w:r>
      <w:proofErr w:type="spellStart"/>
      <w:r>
        <w:t>kryptoaktiver</w:t>
      </w:r>
      <w:proofErr w:type="spellEnd"/>
    </w:p>
    <w:p w14:paraId="2D0DE053" w14:textId="77777777" w:rsidR="00CA4911" w:rsidRDefault="00CA4911" w:rsidP="00964EBA">
      <w:pPr>
        <w:pStyle w:val="Listeafsnit"/>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ind w:left="720"/>
        <w:contextualSpacing/>
      </w:pPr>
    </w:p>
    <w:p w14:paraId="11995065" w14:textId="1B5D4314" w:rsidR="00CA4911" w:rsidRDefault="00CA4911" w:rsidP="005A12AA">
      <w:pPr>
        <w:pStyle w:val="Listeafsnit"/>
        <w:numPr>
          <w:ilvl w:val="0"/>
          <w:numId w:val="4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t>MiFID</w:t>
      </w:r>
      <w:proofErr w:type="spellEnd"/>
      <w:r>
        <w:t xml:space="preserve"> II: Udførelse af ordrer for kundens regning med finansielle instrumenter</w:t>
      </w:r>
    </w:p>
    <w:p w14:paraId="1C5B4660" w14:textId="5F9111E7" w:rsidR="00CA4911" w:rsidRDefault="00CA4911" w:rsidP="00964EBA">
      <w:pPr>
        <w:pStyle w:val="Listeafsnit"/>
        <w:numPr>
          <w:ilvl w:val="1"/>
          <w:numId w:val="3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t>MiCA</w:t>
      </w:r>
      <w:proofErr w:type="spellEnd"/>
      <w:r>
        <w:t xml:space="preserve">: Udførelse af ordrer vedrørende </w:t>
      </w:r>
      <w:proofErr w:type="spellStart"/>
      <w:r>
        <w:t>kryptoaktiver</w:t>
      </w:r>
      <w:proofErr w:type="spellEnd"/>
      <w:r>
        <w:t xml:space="preserve"> på vegne af kunden</w:t>
      </w:r>
    </w:p>
    <w:p w14:paraId="0888FE2F" w14:textId="77777777" w:rsidR="00CA4911" w:rsidRDefault="00CA4911" w:rsidP="00964EBA">
      <w:pPr>
        <w:pStyle w:val="Listeafsnit"/>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ind w:left="720"/>
        <w:contextualSpacing/>
      </w:pPr>
    </w:p>
    <w:p w14:paraId="16E79F76" w14:textId="270DA1D1" w:rsidR="00B35464" w:rsidRPr="00B35464" w:rsidRDefault="00B35464" w:rsidP="005A12AA">
      <w:pPr>
        <w:pStyle w:val="Listeafsnit"/>
        <w:numPr>
          <w:ilvl w:val="0"/>
          <w:numId w:val="4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rsidRPr="00B35464">
        <w:t>MiFID</w:t>
      </w:r>
      <w:proofErr w:type="spellEnd"/>
      <w:r w:rsidRPr="00B35464">
        <w:t xml:space="preserve"> II: Drift af en multilateral handelsfacilitet for finansielle instrumenter </w:t>
      </w:r>
    </w:p>
    <w:p w14:paraId="15CD8B0A" w14:textId="53C53F15" w:rsidR="00B867EF" w:rsidRPr="00964EBA" w:rsidRDefault="00B35464" w:rsidP="00964EBA">
      <w:pPr>
        <w:pStyle w:val="Listeafsnit"/>
        <w:numPr>
          <w:ilvl w:val="1"/>
          <w:numId w:val="3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rsidRPr="00964EBA">
        <w:rPr>
          <w:rFonts w:eastAsia="Arial" w:cs="Arial"/>
          <w:color w:val="000000"/>
          <w:szCs w:val="21"/>
        </w:rPr>
        <w:t>MiCA</w:t>
      </w:r>
      <w:proofErr w:type="spellEnd"/>
      <w:r w:rsidRPr="00964EBA">
        <w:rPr>
          <w:rFonts w:eastAsia="Arial" w:cs="Arial"/>
          <w:color w:val="000000"/>
          <w:szCs w:val="21"/>
        </w:rPr>
        <w:t xml:space="preserve">: </w:t>
      </w:r>
      <w:r w:rsidR="00B867EF" w:rsidRPr="00964EBA">
        <w:rPr>
          <w:rFonts w:eastAsia="Arial" w:cs="Arial"/>
          <w:color w:val="000000"/>
          <w:szCs w:val="21"/>
        </w:rPr>
        <w:t xml:space="preserve">Drift af en handelsplatform for </w:t>
      </w:r>
      <w:proofErr w:type="spellStart"/>
      <w:r w:rsidR="00B867EF" w:rsidRPr="00964EBA">
        <w:rPr>
          <w:rFonts w:eastAsia="Arial" w:cs="Arial"/>
          <w:color w:val="000000"/>
          <w:szCs w:val="21"/>
        </w:rPr>
        <w:t>kryptoaktiver</w:t>
      </w:r>
      <w:proofErr w:type="spellEnd"/>
    </w:p>
    <w:p w14:paraId="3852C0D1" w14:textId="77777777" w:rsidR="00CA4911" w:rsidRPr="00964EBA" w:rsidRDefault="00CA4911" w:rsidP="00964EBA">
      <w:pPr>
        <w:pStyle w:val="Listeafsnit"/>
        <w:numPr>
          <w:ilvl w:val="0"/>
          <w:numId w:val="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ind w:left="720"/>
        <w:contextualSpacing/>
      </w:pPr>
    </w:p>
    <w:p w14:paraId="46BA798E" w14:textId="77777777" w:rsidR="00B35464" w:rsidRDefault="00B35464" w:rsidP="005A12AA">
      <w:pPr>
        <w:pStyle w:val="Listeafsnit"/>
        <w:numPr>
          <w:ilvl w:val="0"/>
          <w:numId w:val="45"/>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t>MiFID</w:t>
      </w:r>
      <w:proofErr w:type="spellEnd"/>
      <w:r>
        <w:t xml:space="preserve"> II: Handel for egen regning med finansielle instrumenter</w:t>
      </w:r>
    </w:p>
    <w:p w14:paraId="095BBC14" w14:textId="783E5F54" w:rsidR="00B867EF" w:rsidRDefault="00B35464" w:rsidP="00964EBA">
      <w:pPr>
        <w:pStyle w:val="Listeafsnit"/>
        <w:numPr>
          <w:ilvl w:val="1"/>
          <w:numId w:val="36"/>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proofErr w:type="spellStart"/>
      <w:r>
        <w:lastRenderedPageBreak/>
        <w:t>MiCA</w:t>
      </w:r>
      <w:proofErr w:type="spellEnd"/>
      <w:r>
        <w:t xml:space="preserve">: </w:t>
      </w:r>
      <w:r w:rsidR="00B867EF">
        <w:t xml:space="preserve">Veksling mellem </w:t>
      </w:r>
      <w:proofErr w:type="spellStart"/>
      <w:r w:rsidR="00B867EF">
        <w:t>kryptoaktiver</w:t>
      </w:r>
      <w:proofErr w:type="spellEnd"/>
      <w:r w:rsidR="00B867EF">
        <w:t xml:space="preserve"> og midler</w:t>
      </w:r>
      <w:r w:rsidR="00F165E4">
        <w:t xml:space="preserve"> eller </w:t>
      </w:r>
      <w:r w:rsidR="00B867EF">
        <w:t xml:space="preserve">andre </w:t>
      </w:r>
      <w:proofErr w:type="spellStart"/>
      <w:r w:rsidR="00B867EF">
        <w:t>kryptoaktiver</w:t>
      </w:r>
      <w:proofErr w:type="spellEnd"/>
      <w:r>
        <w:t>.</w:t>
      </w:r>
    </w:p>
    <w:p w14:paraId="746CC770" w14:textId="77777777" w:rsidR="00634737" w:rsidRDefault="00634737" w:rsidP="00B867EF"/>
    <w:p w14:paraId="27D161D2" w14:textId="70F0F91C" w:rsidR="001C0707" w:rsidRDefault="001C0707" w:rsidP="001C0707">
      <w:r w:rsidRPr="008C3C47">
        <w:t>For begge</w:t>
      </w:r>
      <w:r w:rsidR="008C3C47">
        <w:t xml:space="preserve"> scenarier</w:t>
      </w:r>
      <w:r w:rsidRPr="008C3C47">
        <w:t xml:space="preserve"> i eksemplet gælder, at kapitalselskabet udelukkende skal have tilladelse til at udføre de aktiviteter, som det råder over. </w:t>
      </w:r>
      <w:r w:rsidR="008C3C47" w:rsidRPr="008C3C47">
        <w:t xml:space="preserve">For at kunne </w:t>
      </w:r>
      <w:r w:rsidRPr="008C3C47">
        <w:t xml:space="preserve">identificere den egentligt udførte aktivitet forudsætter </w:t>
      </w:r>
      <w:r w:rsidR="008C3C47" w:rsidRPr="008C3C47">
        <w:t xml:space="preserve">det </w:t>
      </w:r>
      <w:r w:rsidRPr="008C3C47">
        <w:t xml:space="preserve">derfor teknisk forståelse af </w:t>
      </w:r>
      <w:r w:rsidR="00494F9E">
        <w:t>opsætning</w:t>
      </w:r>
      <w:r w:rsidR="003A600B">
        <w:t>en af</w:t>
      </w:r>
      <w:r w:rsidRPr="008C3C47">
        <w:t xml:space="preserve"> det decentrale udbud, som den pågældende brugergrænseflade integrerer til. </w:t>
      </w:r>
    </w:p>
    <w:p w14:paraId="4A6BE232" w14:textId="77777777" w:rsidR="001C0707" w:rsidRDefault="001C0707" w:rsidP="00B867EF"/>
    <w:p w14:paraId="1ACB1452" w14:textId="6E356FB9" w:rsidR="00B867EF" w:rsidRDefault="00B867EF" w:rsidP="00B867EF">
      <w:r>
        <w:t xml:space="preserve">Finansielle virksomheder </w:t>
      </w:r>
      <w:r w:rsidRPr="00D23F99">
        <w:t>udfører kundeordrer</w:t>
      </w:r>
      <w:r w:rsidR="009A2382">
        <w:t>,</w:t>
      </w:r>
      <w:r>
        <w:t xml:space="preserve"> når de indlægger ordrer på en multilateral handelsplads på vegne af deres kunder. </w:t>
      </w:r>
      <w:r w:rsidR="00F165E4">
        <w:t>Et eksempel på dette er</w:t>
      </w:r>
      <w:r>
        <w:t xml:space="preserve"> en kunde</w:t>
      </w:r>
      <w:r w:rsidR="00F165E4">
        <w:t xml:space="preserve">, der </w:t>
      </w:r>
      <w:r>
        <w:t>anmoder om at købe en aktie</w:t>
      </w:r>
      <w:r w:rsidR="00F165E4" w:rsidRPr="00F165E4">
        <w:t xml:space="preserve"> </w:t>
      </w:r>
      <w:r w:rsidR="00F165E4">
        <w:t>gennem sin netbank</w:t>
      </w:r>
      <w:r>
        <w:t xml:space="preserve">, </w:t>
      </w:r>
      <w:r w:rsidR="00F165E4">
        <w:t xml:space="preserve">hvorefter </w:t>
      </w:r>
      <w:r>
        <w:t>pengeinstituttet køber aktien</w:t>
      </w:r>
      <w:r w:rsidR="00C21C96">
        <w:t xml:space="preserve"> for kunden på </w:t>
      </w:r>
      <w:r w:rsidR="00F22F96">
        <w:t xml:space="preserve">en handelsplads som </w:t>
      </w:r>
      <w:r w:rsidR="00F165E4">
        <w:t xml:space="preserve">f.eks. </w:t>
      </w:r>
      <w:r w:rsidR="00C21C96">
        <w:t>Nasdaq Nordic</w:t>
      </w:r>
      <w:r>
        <w:t xml:space="preserve">. På </w:t>
      </w:r>
      <w:r w:rsidR="00F165E4">
        <w:t>samme måde</w:t>
      </w:r>
      <w:r>
        <w:t xml:space="preserve"> udfører et pengeinstitut </w:t>
      </w:r>
      <w:r w:rsidR="00F165E4">
        <w:t xml:space="preserve">en </w:t>
      </w:r>
      <w:r>
        <w:t xml:space="preserve">kundeordre, hvis </w:t>
      </w:r>
      <w:r w:rsidR="00F165E4">
        <w:t>instituttet</w:t>
      </w:r>
      <w:r>
        <w:t xml:space="preserve"> gennemfører handlen ved </w:t>
      </w:r>
      <w:r w:rsidR="00C21C96">
        <w:t>at sælge sin egen beholdning af aktien til kunden</w:t>
      </w:r>
      <w:r>
        <w:t xml:space="preserve">. </w:t>
      </w:r>
      <w:r w:rsidR="00FC7AD6">
        <w:t xml:space="preserve">Sidstnævnte </w:t>
      </w:r>
      <w:r w:rsidR="00F22F96">
        <w:t>form for udfør</w:t>
      </w:r>
      <w:r w:rsidR="00FC7AD6">
        <w:t>else</w:t>
      </w:r>
      <w:r w:rsidR="00F22F96">
        <w:t xml:space="preserve"> af ordre er en </w:t>
      </w:r>
      <w:r w:rsidRPr="00F22F96">
        <w:t>internalisering af handlen</w:t>
      </w:r>
      <w:r w:rsidR="00315C00">
        <w:t xml:space="preserve"> </w:t>
      </w:r>
      <w:r>
        <w:t>og</w:t>
      </w:r>
      <w:r w:rsidR="00315C00">
        <w:t xml:space="preserve"> kræver, at instituttet har tilladelse til </w:t>
      </w:r>
      <w:r w:rsidR="00315C00" w:rsidRPr="00645438">
        <w:t>handel for egen regning</w:t>
      </w:r>
      <w:r w:rsidR="00315C00">
        <w:t xml:space="preserve"> jf.</w:t>
      </w:r>
      <w:r>
        <w:t xml:space="preserve"> </w:t>
      </w:r>
      <w:proofErr w:type="spellStart"/>
      <w:r>
        <w:t>MiFID</w:t>
      </w:r>
      <w:proofErr w:type="spellEnd"/>
      <w:r>
        <w:t xml:space="preserve"> II. </w:t>
      </w:r>
    </w:p>
    <w:p w14:paraId="7BD7411D" w14:textId="77777777" w:rsidR="00B867EF" w:rsidRDefault="00B867EF" w:rsidP="00B867EF"/>
    <w:p w14:paraId="0BE9DFA3" w14:textId="3266EFAE" w:rsidR="00B867EF" w:rsidRDefault="00B867EF" w:rsidP="00B867EF">
      <w:r>
        <w:t xml:space="preserve">Finanstilsynet </w:t>
      </w:r>
      <w:r w:rsidR="004D6018">
        <w:t>anse</w:t>
      </w:r>
      <w:r w:rsidR="00315C00">
        <w:t xml:space="preserve">r på samme måde </w:t>
      </w:r>
      <w:r w:rsidR="00C21C96">
        <w:t xml:space="preserve">udbyder af brugergrænsefladen </w:t>
      </w:r>
      <w:r w:rsidR="004D6018">
        <w:t xml:space="preserve">som </w:t>
      </w:r>
      <w:r>
        <w:t xml:space="preserve">ordreudførende, hvis </w:t>
      </w:r>
      <w:r w:rsidR="00C21C96">
        <w:t>udbyderen t</w:t>
      </w:r>
      <w:r>
        <w:t>ilgængeliggør den software for brugeren, der konverterer bruger</w:t>
      </w:r>
      <w:r w:rsidR="00CD3803">
        <w:t>ens</w:t>
      </w:r>
      <w:r>
        <w:t xml:space="preserve"> handelsinteresser til en ordreindlæggelse på </w:t>
      </w:r>
      <w:proofErr w:type="spellStart"/>
      <w:r>
        <w:t>DEX</w:t>
      </w:r>
      <w:r w:rsidR="00FC7AD6">
        <w:t>’</w:t>
      </w:r>
      <w:r w:rsidR="00C21C96">
        <w:t>en</w:t>
      </w:r>
      <w:proofErr w:type="spellEnd"/>
      <w:r>
        <w:t>. Fordi kapitalselskab</w:t>
      </w:r>
      <w:r w:rsidR="004D6018">
        <w:t>et</w:t>
      </w:r>
      <w:r w:rsidR="00C21C96">
        <w:t xml:space="preserve"> </w:t>
      </w:r>
      <w:r w:rsidR="00F22F96">
        <w:t>råder</w:t>
      </w:r>
      <w:r>
        <w:t xml:space="preserve"> over </w:t>
      </w:r>
      <w:r w:rsidR="003C0C63">
        <w:t xml:space="preserve">denne </w:t>
      </w:r>
      <w:r>
        <w:t>software</w:t>
      </w:r>
      <w:r w:rsidR="00FC7AD6">
        <w:t xml:space="preserve">, </w:t>
      </w:r>
      <w:r w:rsidR="00315C00">
        <w:t xml:space="preserve">indgår </w:t>
      </w:r>
      <w:r w:rsidR="00FC7AD6">
        <w:t>selskabet</w:t>
      </w:r>
      <w:r>
        <w:t xml:space="preserve"> </w:t>
      </w:r>
      <w:r w:rsidR="00315C00">
        <w:t xml:space="preserve">også </w:t>
      </w:r>
      <w:r>
        <w:t xml:space="preserve">en aftale med brugeren om, at brugeren kan </w:t>
      </w:r>
      <w:r w:rsidR="00FC7AD6">
        <w:t>benytte</w:t>
      </w:r>
      <w:r>
        <w:t xml:space="preserve"> selskabets tjeneste til at indlægge ordre</w:t>
      </w:r>
      <w:r w:rsidR="009A2382">
        <w:t>r</w:t>
      </w:r>
      <w:r>
        <w:t xml:space="preserve"> på en DEX. Omvendt </w:t>
      </w:r>
      <w:r w:rsidR="00FC7AD6">
        <w:t xml:space="preserve">kan </w:t>
      </w:r>
      <w:r>
        <w:t xml:space="preserve">kapitalselskabet ikke </w:t>
      </w:r>
      <w:r w:rsidR="00FC7AD6">
        <w:t xml:space="preserve">betragtes som </w:t>
      </w:r>
      <w:r>
        <w:t>udbyder af en handels</w:t>
      </w:r>
      <w:r w:rsidR="00D23F99">
        <w:t>platform</w:t>
      </w:r>
      <w:r>
        <w:t xml:space="preserve"> for </w:t>
      </w:r>
      <w:proofErr w:type="spellStart"/>
      <w:r>
        <w:t>kryptoaktiver</w:t>
      </w:r>
      <w:proofErr w:type="spellEnd"/>
      <w:r>
        <w:t xml:space="preserve">, fordi det ikke selv </w:t>
      </w:r>
      <w:r w:rsidR="00F22F96">
        <w:t>råder</w:t>
      </w:r>
      <w:r>
        <w:t xml:space="preserve"> over </w:t>
      </w:r>
      <w:r w:rsidR="00FC7AD6">
        <w:t xml:space="preserve">de </w:t>
      </w:r>
      <w:r>
        <w:t xml:space="preserve">smartkontrakter, der udgør </w:t>
      </w:r>
      <w:proofErr w:type="spellStart"/>
      <w:r>
        <w:t>DEX’en</w:t>
      </w:r>
      <w:proofErr w:type="spellEnd"/>
      <w:r>
        <w:t>.</w:t>
      </w:r>
    </w:p>
    <w:p w14:paraId="26352B7C" w14:textId="77777777" w:rsidR="00B867EF" w:rsidRDefault="00B867EF" w:rsidP="00B867EF"/>
    <w:p w14:paraId="17512C00" w14:textId="0FD1CC40" w:rsidR="004D6018" w:rsidRDefault="004D6018" w:rsidP="004D6018">
      <w:r>
        <w:t>Vekslingstjenester</w:t>
      </w:r>
      <w:r w:rsidR="00FC7AD6">
        <w:t xml:space="preserve"> </w:t>
      </w:r>
      <w:r>
        <w:t xml:space="preserve">i </w:t>
      </w:r>
      <w:proofErr w:type="spellStart"/>
      <w:r>
        <w:t>MiCA</w:t>
      </w:r>
      <w:proofErr w:type="spellEnd"/>
      <w:r>
        <w:t xml:space="preserve"> sidestilles med </w:t>
      </w:r>
      <w:r w:rsidRPr="00645438">
        <w:t>handel for egen regning</w:t>
      </w:r>
      <w:r>
        <w:t xml:space="preserve"> under </w:t>
      </w:r>
      <w:proofErr w:type="spellStart"/>
      <w:r>
        <w:t>MiFID</w:t>
      </w:r>
      <w:proofErr w:type="spellEnd"/>
      <w:r>
        <w:t xml:space="preserve"> II. Hvis et pengeinstitut </w:t>
      </w:r>
      <w:r w:rsidR="00FC7AD6">
        <w:t>imødekommer</w:t>
      </w:r>
      <w:r>
        <w:t xml:space="preserve"> en kundes anmodning om at købe en aktie ved at sælge aktien fra egen handelsbeholdning. </w:t>
      </w:r>
      <w:r w:rsidR="00336AAD">
        <w:t xml:space="preserve">Pengeinstituttet </w:t>
      </w:r>
      <w:r>
        <w:t xml:space="preserve">vil også være ordreudførende, men fordi </w:t>
      </w:r>
      <w:r w:rsidR="00336AAD">
        <w:t xml:space="preserve">tilladelsen til at handle for egen regning også omfatter </w:t>
      </w:r>
      <w:r w:rsidR="00CD3803">
        <w:t xml:space="preserve">tilladelse til at udføre </w:t>
      </w:r>
      <w:r w:rsidR="00437C13">
        <w:t>ordrerne</w:t>
      </w:r>
      <w:r>
        <w:t xml:space="preserve">, </w:t>
      </w:r>
      <w:r w:rsidR="00336AAD">
        <w:t>skal instituttet ikke have</w:t>
      </w:r>
      <w:r>
        <w:t xml:space="preserve"> særskilt tilladelse til at udføre ordre</w:t>
      </w:r>
      <w:r w:rsidR="00CD3803">
        <w:t>r</w:t>
      </w:r>
      <w:r>
        <w:t xml:space="preserve"> </w:t>
      </w:r>
      <w:r w:rsidR="005E47D8">
        <w:t>for</w:t>
      </w:r>
      <w:r>
        <w:t xml:space="preserve"> kundens regning. Hvis en juridisk enhed formidler ordren til pengeinstituttet</w:t>
      </w:r>
      <w:r w:rsidR="00336AAD" w:rsidRPr="00336AAD">
        <w:t xml:space="preserve"> </w:t>
      </w:r>
      <w:r w:rsidR="00336AAD">
        <w:t xml:space="preserve">på vegne </w:t>
      </w:r>
      <w:r w:rsidR="005E47D8">
        <w:t xml:space="preserve">af </w:t>
      </w:r>
      <w:r w:rsidR="00336AAD">
        <w:t>kunden</w:t>
      </w:r>
      <w:r>
        <w:t xml:space="preserve">, </w:t>
      </w:r>
      <w:r w:rsidR="00336AAD">
        <w:t>skal instituttet have</w:t>
      </w:r>
      <w:r>
        <w:t xml:space="preserve"> tilladelse til </w:t>
      </w:r>
      <w:r w:rsidR="00336AAD">
        <w:t xml:space="preserve">at </w:t>
      </w:r>
      <w:r>
        <w:t>modtage og formidl</w:t>
      </w:r>
      <w:r w:rsidR="00336AAD">
        <w:t>e</w:t>
      </w:r>
      <w:r>
        <w:t xml:space="preserve"> kundeordrer. Det samme vil som udgangspunkt gælde for brugergrænsefladen i eksemplet, hvis softwaren gør</w:t>
      </w:r>
      <w:r w:rsidR="00336AAD">
        <w:t xml:space="preserve"> det muligt for </w:t>
      </w:r>
      <w:r>
        <w:t>bruger</w:t>
      </w:r>
      <w:r w:rsidR="00315C00">
        <w:t>n</w:t>
      </w:r>
      <w:r>
        <w:t xml:space="preserve">e </w:t>
      </w:r>
      <w:r w:rsidR="00336AAD">
        <w:t xml:space="preserve">at </w:t>
      </w:r>
      <w:r>
        <w:t xml:space="preserve">kommunikere med en fuldstændig decentral vekslingstjeneste. Det kunne </w:t>
      </w:r>
      <w:r w:rsidR="00511F1F">
        <w:t xml:space="preserve">potentielt </w:t>
      </w:r>
      <w:r>
        <w:t>være i tilfælde, hvor de</w:t>
      </w:r>
      <w:r w:rsidR="00511F1F">
        <w:t xml:space="preserve">r handles direkte med en </w:t>
      </w:r>
      <w:r w:rsidR="00B867EF">
        <w:t>AMM</w:t>
      </w:r>
      <w:r w:rsidR="00511F1F">
        <w:t>, eller</w:t>
      </w:r>
      <w:r w:rsidR="006E7768">
        <w:t xml:space="preserve"> tilfælde hvor </w:t>
      </w:r>
      <w:r w:rsidR="00511F1F">
        <w:t xml:space="preserve">en række </w:t>
      </w:r>
      <w:proofErr w:type="spellStart"/>
      <w:r w:rsidR="00511F1F">
        <w:t>AMM’er</w:t>
      </w:r>
      <w:proofErr w:type="spellEnd"/>
      <w:r w:rsidR="00511F1F">
        <w:t xml:space="preserve"> </w:t>
      </w:r>
      <w:r w:rsidR="00B867EF">
        <w:t xml:space="preserve">er </w:t>
      </w:r>
      <w:r w:rsidR="00F22F96">
        <w:t>forudbestemt s</w:t>
      </w:r>
      <w:r w:rsidR="00B867EF">
        <w:t xml:space="preserve">om </w:t>
      </w:r>
      <w:r w:rsidR="004569F0">
        <w:t xml:space="preserve">de eneste </w:t>
      </w:r>
      <w:r w:rsidR="00B867EF">
        <w:t>modpart</w:t>
      </w:r>
      <w:r w:rsidR="004569F0">
        <w:t>er</w:t>
      </w:r>
      <w:r w:rsidR="00B867EF">
        <w:t xml:space="preserve"> (likviditetsstiller</w:t>
      </w:r>
      <w:r w:rsidR="004569F0">
        <w:t>e</w:t>
      </w:r>
      <w:r w:rsidR="00B867EF">
        <w:t>) til de handler, som matches i de</w:t>
      </w:r>
      <w:r w:rsidR="000871D2">
        <w:t>n eller de</w:t>
      </w:r>
      <w:r w:rsidR="00B867EF">
        <w:t xml:space="preserve"> smartkontrakter, der udgør </w:t>
      </w:r>
      <w:proofErr w:type="spellStart"/>
      <w:r w:rsidR="00B867EF">
        <w:t>DEX’en</w:t>
      </w:r>
      <w:proofErr w:type="spellEnd"/>
      <w:r w:rsidR="00B867EF">
        <w:t xml:space="preserve">. </w:t>
      </w:r>
    </w:p>
    <w:p w14:paraId="4B0A2794" w14:textId="77777777" w:rsidR="00B867EF" w:rsidRDefault="00B867EF" w:rsidP="00B867EF"/>
    <w:p w14:paraId="02460A5A" w14:textId="77777777" w:rsidR="00D23F99" w:rsidRDefault="00D23F99" w:rsidP="00C1424A">
      <w:pPr>
        <w:pStyle w:val="Overskrift1"/>
      </w:pPr>
      <w:bookmarkStart w:id="12" w:name="_Toc170130142"/>
      <w:bookmarkEnd w:id="11"/>
      <w:r>
        <w:t xml:space="preserve">5. Principper for vurdering af </w:t>
      </w:r>
      <w:proofErr w:type="spellStart"/>
      <w:r>
        <w:t>decentralitet</w:t>
      </w:r>
      <w:bookmarkEnd w:id="12"/>
      <w:proofErr w:type="spellEnd"/>
    </w:p>
    <w:p w14:paraId="235B4D42" w14:textId="5783D277" w:rsidR="00143A6D" w:rsidRDefault="00342683" w:rsidP="00D23F99">
      <w:pPr>
        <w:pStyle w:val="Brdtekst"/>
      </w:pPr>
      <w:r>
        <w:t>D</w:t>
      </w:r>
      <w:r w:rsidR="00D23F99" w:rsidRPr="00EA4852">
        <w:t>ette afsnit gennemgå</w:t>
      </w:r>
      <w:r>
        <w:t>r</w:t>
      </w:r>
      <w:r w:rsidR="00D23F99">
        <w:t xml:space="preserve"> </w:t>
      </w:r>
      <w:r w:rsidR="00D23F99" w:rsidRPr="00EA4852">
        <w:t xml:space="preserve">de principper, der </w:t>
      </w:r>
      <w:r w:rsidR="00D23F99">
        <w:t>danner udgangspunkt</w:t>
      </w:r>
      <w:r w:rsidR="000B275E">
        <w:t xml:space="preserve"> </w:t>
      </w:r>
      <w:r w:rsidR="00D23F99" w:rsidRPr="00EA4852">
        <w:t>for Finanstilsynet</w:t>
      </w:r>
      <w:r w:rsidR="00D23F99">
        <w:t>s</w:t>
      </w:r>
      <w:r w:rsidR="00D23F99" w:rsidRPr="00EA4852">
        <w:t xml:space="preserve"> vurdering af</w:t>
      </w:r>
      <w:r w:rsidR="00266C0B">
        <w:t>,</w:t>
      </w:r>
      <w:r w:rsidR="00D23F99" w:rsidRPr="00EA4852">
        <w:t xml:space="preserve"> </w:t>
      </w:r>
      <w:r w:rsidR="00D23F99">
        <w:t xml:space="preserve">om en reguleret aktivitet </w:t>
      </w:r>
      <w:r>
        <w:t xml:space="preserve">er </w:t>
      </w:r>
      <w:r w:rsidR="00D23F99">
        <w:t>udb</w:t>
      </w:r>
      <w:r>
        <w:t>u</w:t>
      </w:r>
      <w:r w:rsidR="00D23F99">
        <w:t>d</w:t>
      </w:r>
      <w:r>
        <w:t>t</w:t>
      </w:r>
      <w:r w:rsidR="00D23F99">
        <w:t xml:space="preserve"> </w:t>
      </w:r>
      <w:r w:rsidR="00D23F99" w:rsidRPr="00EA4852">
        <w:t>decentral</w:t>
      </w:r>
      <w:r w:rsidR="00D23F99">
        <w:t>t</w:t>
      </w:r>
      <w:r w:rsidR="00D23F99" w:rsidRPr="00EA4852">
        <w:t xml:space="preserve">. </w:t>
      </w:r>
      <w:r w:rsidR="00F22F96">
        <w:t>D</w:t>
      </w:r>
      <w:r w:rsidR="00D23F99">
        <w:t>e</w:t>
      </w:r>
      <w:r w:rsidR="000B275E">
        <w:t>t</w:t>
      </w:r>
      <w:r w:rsidR="00D23F99">
        <w:t xml:space="preserve"> </w:t>
      </w:r>
      <w:r w:rsidR="00D23F99" w:rsidRPr="00EA4852">
        <w:t xml:space="preserve">vil </w:t>
      </w:r>
      <w:r w:rsidR="00D23F99">
        <w:t xml:space="preserve">i alle tilfælde </w:t>
      </w:r>
      <w:r w:rsidR="000B275E">
        <w:t>være nødvendigt konkret at vurdere,</w:t>
      </w:r>
      <w:r w:rsidR="00F22F96">
        <w:t xml:space="preserve"> </w:t>
      </w:r>
      <w:r w:rsidR="006B3BB3">
        <w:t xml:space="preserve">hvordan </w:t>
      </w:r>
      <w:r w:rsidR="00F22F96">
        <w:t>den specifikke forretningsmodel</w:t>
      </w:r>
      <w:r w:rsidR="006B3BB3">
        <w:t xml:space="preserve"> </w:t>
      </w:r>
      <w:r w:rsidR="00143A6D">
        <w:t xml:space="preserve">og det underliggende DLT-system </w:t>
      </w:r>
      <w:r w:rsidR="006B3BB3">
        <w:t>er struktureret</w:t>
      </w:r>
      <w:r w:rsidR="00D23F99" w:rsidRPr="00EA4852">
        <w:t xml:space="preserve">. Dertil kommer, at niveauet af </w:t>
      </w:r>
      <w:proofErr w:type="spellStart"/>
      <w:r w:rsidR="00D23F99" w:rsidRPr="00EA4852">
        <w:t>decentralitet</w:t>
      </w:r>
      <w:proofErr w:type="spellEnd"/>
      <w:r w:rsidR="00D23F99" w:rsidRPr="00EA4852">
        <w:t xml:space="preserve"> kan ændre sig over tid. Etableringen af en decentral organisation vil </w:t>
      </w:r>
      <w:r w:rsidR="00D23F99">
        <w:t xml:space="preserve">som udgangspunkt </w:t>
      </w:r>
      <w:r w:rsidR="00D23F99" w:rsidRPr="00EA4852">
        <w:t>starte centralt</w:t>
      </w:r>
      <w:r w:rsidR="00D23F99">
        <w:t xml:space="preserve">, men med en målsætning om over tid at bevæge sig mod </w:t>
      </w:r>
      <w:proofErr w:type="spellStart"/>
      <w:r w:rsidR="00D23F99">
        <w:t>decentralitet</w:t>
      </w:r>
      <w:proofErr w:type="spellEnd"/>
      <w:r w:rsidR="00D23F99">
        <w:t xml:space="preserve">. </w:t>
      </w:r>
    </w:p>
    <w:p w14:paraId="7640EA2E" w14:textId="7FACC8AE" w:rsidR="000366A0" w:rsidRDefault="00ED44BA" w:rsidP="00D23F99">
      <w:pPr>
        <w:pStyle w:val="Brdtekst"/>
      </w:pPr>
      <w:r>
        <w:t xml:space="preserve">Finanstilsynets </w:t>
      </w:r>
      <w:r w:rsidR="00D23F99" w:rsidRPr="00EA4852">
        <w:t xml:space="preserve">vurdering af </w:t>
      </w:r>
      <w:proofErr w:type="spellStart"/>
      <w:r w:rsidR="00D23F99" w:rsidRPr="00EA4852">
        <w:t>decentralitet</w:t>
      </w:r>
      <w:proofErr w:type="spellEnd"/>
      <w:r w:rsidR="00D23F99" w:rsidRPr="00EA4852">
        <w:t xml:space="preserve"> </w:t>
      </w:r>
      <w:r w:rsidR="005C655F">
        <w:t xml:space="preserve">vil </w:t>
      </w:r>
      <w:r w:rsidR="00D23F99" w:rsidRPr="00EA4852">
        <w:t xml:space="preserve">altid tage udgangspunkt i det tidspunkt, </w:t>
      </w:r>
      <w:r w:rsidR="006B17EA">
        <w:t xml:space="preserve">på hvilket </w:t>
      </w:r>
      <w:r w:rsidR="00D23F99" w:rsidRPr="00EA4852">
        <w:t xml:space="preserve">en reguleret aktivitet </w:t>
      </w:r>
      <w:r w:rsidR="008B16CF">
        <w:t>bliver</w:t>
      </w:r>
      <w:r w:rsidR="00D23F99" w:rsidRPr="00EA4852">
        <w:t xml:space="preserve"> tilgængelig for offentligheden.</w:t>
      </w:r>
      <w:r w:rsidR="00D23F99">
        <w:t xml:space="preserve"> </w:t>
      </w:r>
      <w:r w:rsidR="006B17EA">
        <w:t xml:space="preserve">Et udbud af en reguleret aktivitet kan altså ikke undtages fra </w:t>
      </w:r>
      <w:proofErr w:type="spellStart"/>
      <w:r w:rsidR="006B17EA">
        <w:t>MiCA</w:t>
      </w:r>
      <w:proofErr w:type="spellEnd"/>
      <w:r w:rsidR="006B17EA">
        <w:t>, alene fordi udbyderen har som</w:t>
      </w:r>
      <w:r w:rsidR="00D23F99">
        <w:t xml:space="preserve"> mål</w:t>
      </w:r>
      <w:r w:rsidR="006B17EA">
        <w:t xml:space="preserve"> at gøre udbuddet </w:t>
      </w:r>
      <w:r w:rsidR="00D23F99">
        <w:t>decentral</w:t>
      </w:r>
      <w:r w:rsidR="006B17EA">
        <w:t xml:space="preserve">t. </w:t>
      </w:r>
      <w:r w:rsidR="00D23F99">
        <w:t xml:space="preserve">I </w:t>
      </w:r>
      <w:r w:rsidR="006B17EA">
        <w:t xml:space="preserve">det øjeblik </w:t>
      </w:r>
      <w:r w:rsidR="00C1424A">
        <w:t xml:space="preserve">et reguleret </w:t>
      </w:r>
      <w:r w:rsidR="00D23F99">
        <w:t xml:space="preserve">udbud overgår til at være </w:t>
      </w:r>
      <w:r w:rsidR="00D23F99" w:rsidRPr="00C1424A">
        <w:t>decentral</w:t>
      </w:r>
      <w:r w:rsidR="00C1424A">
        <w:t>t</w:t>
      </w:r>
      <w:r w:rsidR="00D23F99">
        <w:t xml:space="preserve">, vil der ikke </w:t>
      </w:r>
      <w:r w:rsidR="00C1424A">
        <w:t xml:space="preserve">længere </w:t>
      </w:r>
      <w:r w:rsidR="00D23F99">
        <w:lastRenderedPageBreak/>
        <w:t xml:space="preserve">være et </w:t>
      </w:r>
      <w:proofErr w:type="spellStart"/>
      <w:r w:rsidR="00D23F99">
        <w:t>retssubjekt</w:t>
      </w:r>
      <w:proofErr w:type="spellEnd"/>
      <w:r w:rsidR="00D23F99">
        <w:t xml:space="preserve"> at pålægge tilladelsespligten. Det </w:t>
      </w:r>
      <w:r w:rsidR="00342683">
        <w:t>kunne</w:t>
      </w:r>
      <w:r w:rsidR="002C0368">
        <w:t xml:space="preserve"> </w:t>
      </w:r>
      <w:r w:rsidR="00143A6D">
        <w:t>f.eks.</w:t>
      </w:r>
      <w:r w:rsidR="00342683">
        <w:t xml:space="preserve"> være</w:t>
      </w:r>
      <w:r w:rsidR="00D23F99">
        <w:t xml:space="preserve">, </w:t>
      </w:r>
      <w:r w:rsidR="00342683">
        <w:t xml:space="preserve">fordi </w:t>
      </w:r>
      <w:r w:rsidR="008517F8">
        <w:t>d</w:t>
      </w:r>
      <w:r w:rsidR="00143A6D">
        <w:t xml:space="preserve">et </w:t>
      </w:r>
      <w:r w:rsidR="00D23F99" w:rsidRPr="007618E9">
        <w:t>selskab</w:t>
      </w:r>
      <w:r w:rsidR="008517F8">
        <w:t>, der har</w:t>
      </w:r>
      <w:r w:rsidR="00D23F99">
        <w:t xml:space="preserve"> </w:t>
      </w:r>
      <w:r w:rsidR="008517F8">
        <w:t xml:space="preserve">tilladelsen, </w:t>
      </w:r>
      <w:r w:rsidR="00D23F99">
        <w:t xml:space="preserve">enten </w:t>
      </w:r>
      <w:r w:rsidR="008517F8">
        <w:t>er</w:t>
      </w:r>
      <w:r w:rsidR="00143A6D">
        <w:t xml:space="preserve"> </w:t>
      </w:r>
      <w:r w:rsidR="00D23F99">
        <w:t xml:space="preserve">opløst eller </w:t>
      </w:r>
      <w:r w:rsidR="008517F8">
        <w:t>af anden grund</w:t>
      </w:r>
      <w:r w:rsidR="00D23F99">
        <w:t xml:space="preserve"> ikke længere </w:t>
      </w:r>
      <w:r w:rsidR="00F45A4D">
        <w:t>råde</w:t>
      </w:r>
      <w:r w:rsidR="008517F8">
        <w:t>r</w:t>
      </w:r>
      <w:r w:rsidR="00D23F99">
        <w:t xml:space="preserve"> over udbuddet</w:t>
      </w:r>
      <w:r w:rsidR="002C2A0E">
        <w:tab/>
      </w:r>
      <w:r w:rsidR="00D23F99">
        <w:t xml:space="preserve">. </w:t>
      </w:r>
    </w:p>
    <w:p w14:paraId="720F0D61" w14:textId="77777777" w:rsidR="00DE2791" w:rsidRDefault="00DE2791" w:rsidP="00D23F99">
      <w:pPr>
        <w:pStyle w:val="Brdtekst"/>
      </w:pPr>
    </w:p>
    <w:p w14:paraId="5F76FAE9" w14:textId="741FB9CA" w:rsidR="00DE2791" w:rsidRDefault="00DE2791" w:rsidP="00DE2791">
      <w:pPr>
        <w:pStyle w:val="Overskrift2"/>
      </w:pPr>
      <w:bookmarkStart w:id="13" w:name="_Toc170130143"/>
      <w:r>
        <w:t xml:space="preserve">5.1. </w:t>
      </w:r>
      <w:proofErr w:type="spellStart"/>
      <w:r>
        <w:t>MiCA</w:t>
      </w:r>
      <w:proofErr w:type="spellEnd"/>
      <w:r>
        <w:t xml:space="preserve"> forudsætter et aftaleforhold mellem to </w:t>
      </w:r>
      <w:proofErr w:type="spellStart"/>
      <w:r>
        <w:t>retssubjekter</w:t>
      </w:r>
      <w:bookmarkEnd w:id="13"/>
      <w:proofErr w:type="spellEnd"/>
    </w:p>
    <w:p w14:paraId="7284AD55" w14:textId="0E4C75F1" w:rsidR="00DE2791" w:rsidRDefault="00395D2F" w:rsidP="00DE2791">
      <w:r>
        <w:t>Forudsætningen</w:t>
      </w:r>
      <w:r w:rsidR="00841C37">
        <w:t>,</w:t>
      </w:r>
      <w:r>
        <w:t xml:space="preserve"> for</w:t>
      </w:r>
      <w:r w:rsidR="00DE2791">
        <w:t xml:space="preserve"> at udbuddet af en tjeneste kan reguleres, er, at </w:t>
      </w:r>
      <w:r w:rsidRPr="00B171A2">
        <w:t>to eller flere parter</w:t>
      </w:r>
      <w:r>
        <w:t xml:space="preserve"> </w:t>
      </w:r>
      <w:r w:rsidR="00DE2791">
        <w:t>indgå</w:t>
      </w:r>
      <w:r>
        <w:t>r</w:t>
      </w:r>
      <w:r w:rsidR="00DE2791">
        <w:t xml:space="preserve"> e</w:t>
      </w:r>
      <w:r w:rsidR="00DE2791" w:rsidRPr="00B171A2">
        <w:t xml:space="preserve">n gyldig aftale </w:t>
      </w:r>
      <w:r w:rsidR="00DE2791">
        <w:t xml:space="preserve">om </w:t>
      </w:r>
      <w:r>
        <w:t xml:space="preserve">at </w:t>
      </w:r>
      <w:r w:rsidR="00342683">
        <w:t xml:space="preserve">levere og </w:t>
      </w:r>
      <w:r w:rsidR="00DE2791">
        <w:t>modtage</w:t>
      </w:r>
      <w:r w:rsidR="00342683">
        <w:t xml:space="preserve"> </w:t>
      </w:r>
      <w:r w:rsidR="00DE2791">
        <w:t xml:space="preserve">tjenesten. Det </w:t>
      </w:r>
      <w:r w:rsidR="005F3544">
        <w:t>gælder i</w:t>
      </w:r>
      <w:r w:rsidR="00DE2791">
        <w:t xml:space="preserve"> </w:t>
      </w:r>
      <w:proofErr w:type="spellStart"/>
      <w:r w:rsidR="00DE2791" w:rsidRPr="00B171A2">
        <w:t>MiCA</w:t>
      </w:r>
      <w:proofErr w:type="spellEnd"/>
      <w:r w:rsidR="00DE2791">
        <w:t xml:space="preserve">, </w:t>
      </w:r>
      <w:r w:rsidR="005F3544">
        <w:t xml:space="preserve">såvel </w:t>
      </w:r>
      <w:r w:rsidR="00DE2791">
        <w:t xml:space="preserve">som </w:t>
      </w:r>
      <w:r w:rsidR="005F3544">
        <w:t xml:space="preserve">i </w:t>
      </w:r>
      <w:r w:rsidR="00DE2791">
        <w:t xml:space="preserve">anden </w:t>
      </w:r>
      <w:r w:rsidR="00DE2791" w:rsidRPr="00B171A2">
        <w:t xml:space="preserve">finansiel regulering. </w:t>
      </w:r>
      <w:r w:rsidR="005F3544">
        <w:t>K</w:t>
      </w:r>
      <w:r w:rsidR="00DE2791">
        <w:t xml:space="preserve">un </w:t>
      </w:r>
      <w:proofErr w:type="spellStart"/>
      <w:r w:rsidR="005F3544">
        <w:t>retssubjekter</w:t>
      </w:r>
      <w:proofErr w:type="spellEnd"/>
      <w:r w:rsidR="005F3544">
        <w:t xml:space="preserve"> kan </w:t>
      </w:r>
      <w:r w:rsidR="00DE2791">
        <w:t xml:space="preserve">indgå </w:t>
      </w:r>
      <w:r w:rsidR="005F3544">
        <w:t>aftaler</w:t>
      </w:r>
      <w:r w:rsidR="00DE2791">
        <w:t xml:space="preserve">, og </w:t>
      </w:r>
      <w:proofErr w:type="spellStart"/>
      <w:r w:rsidR="00DE2791">
        <w:t>MiCA</w:t>
      </w:r>
      <w:proofErr w:type="spellEnd"/>
      <w:r w:rsidR="00DE2791">
        <w:t xml:space="preserve"> finder derfor kun anvendelse i tilfælde, hvor udstederen eller udbyderen udgør et </w:t>
      </w:r>
      <w:proofErr w:type="spellStart"/>
      <w:r w:rsidR="00DE2791" w:rsidRPr="00B171A2">
        <w:t>retssubjekt</w:t>
      </w:r>
      <w:proofErr w:type="spellEnd"/>
      <w:r w:rsidR="00DE2791">
        <w:t xml:space="preserve">. </w:t>
      </w:r>
    </w:p>
    <w:p w14:paraId="66FA9D46" w14:textId="77777777" w:rsidR="00DE2791" w:rsidRDefault="00DE2791" w:rsidP="00DE2791"/>
    <w:p w14:paraId="0DBFC253" w14:textId="424FBF99" w:rsidR="00BD2D54" w:rsidRPr="00BD2D54" w:rsidRDefault="00BD2D54" w:rsidP="00DE2791">
      <w:pPr>
        <w:rPr>
          <w:i/>
          <w:iCs/>
        </w:rPr>
      </w:pPr>
      <w:proofErr w:type="spellStart"/>
      <w:r>
        <w:rPr>
          <w:i/>
          <w:iCs/>
        </w:rPr>
        <w:t>Retssubjekter</w:t>
      </w:r>
      <w:proofErr w:type="spellEnd"/>
      <w:r>
        <w:rPr>
          <w:i/>
          <w:iCs/>
        </w:rPr>
        <w:t xml:space="preserve"> og gyldige aftaleforhold</w:t>
      </w:r>
    </w:p>
    <w:p w14:paraId="377068F6" w14:textId="1B0EAB6B" w:rsidR="00DE2791" w:rsidRDefault="00DE2791" w:rsidP="00DE2791">
      <w:r>
        <w:t xml:space="preserve">Et </w:t>
      </w:r>
      <w:proofErr w:type="spellStart"/>
      <w:r>
        <w:t>retssubjekt</w:t>
      </w:r>
      <w:proofErr w:type="spellEnd"/>
      <w:r>
        <w:t xml:space="preserve"> betegner en juridisk eller fysisk person, som kan </w:t>
      </w:r>
      <w:r w:rsidR="005F3544">
        <w:t>pålægges</w:t>
      </w:r>
      <w:r>
        <w:t xml:space="preserve"> rettigheder og pligte</w:t>
      </w:r>
      <w:r w:rsidR="005F3544">
        <w:t>r</w:t>
      </w:r>
      <w:r w:rsidRPr="00B171A2">
        <w:t xml:space="preserve">. </w:t>
      </w:r>
      <w:r>
        <w:t>Det</w:t>
      </w:r>
      <w:r w:rsidRPr="00B171A2">
        <w:t xml:space="preserve"> forudsætter, at </w:t>
      </w:r>
      <w:r w:rsidR="00EA0485">
        <w:t>den juridiske eller fysiske person</w:t>
      </w:r>
      <w:r w:rsidR="00EA0485" w:rsidRPr="00B171A2">
        <w:t xml:space="preserve"> </w:t>
      </w:r>
      <w:r w:rsidRPr="00B171A2">
        <w:t xml:space="preserve">kan </w:t>
      </w:r>
      <w:r>
        <w:t>råde</w:t>
      </w:r>
      <w:r w:rsidRPr="00B171A2">
        <w:t xml:space="preserve"> </w:t>
      </w:r>
      <w:r w:rsidR="00D3050F" w:rsidRPr="00D3050F">
        <w:t>over disse rettigheder eller pligter</w:t>
      </w:r>
      <w:r w:rsidR="00D3050F">
        <w:t xml:space="preserve">. </w:t>
      </w:r>
      <w:r w:rsidR="00D3050F" w:rsidRPr="00D3050F">
        <w:t>Det betyder f.eks.</w:t>
      </w:r>
      <w:r w:rsidR="00841C37">
        <w:t>,</w:t>
      </w:r>
      <w:r w:rsidR="00D3050F" w:rsidRPr="00D3050F">
        <w:t xml:space="preserve"> at </w:t>
      </w:r>
      <w:proofErr w:type="spellStart"/>
      <w:r w:rsidR="00D3050F" w:rsidRPr="00D3050F">
        <w:t>retssubjektet</w:t>
      </w:r>
      <w:proofErr w:type="spellEnd"/>
      <w:r w:rsidR="00D3050F" w:rsidRPr="00D3050F">
        <w:t xml:space="preserve"> har beføjelser til at opfylde, erhverve eller opgive disse rettigheder.</w:t>
      </w:r>
      <w:r w:rsidRPr="00B171A2">
        <w:t xml:space="preserve"> </w:t>
      </w:r>
      <w:r w:rsidR="006B5429">
        <w:t xml:space="preserve">For at </w:t>
      </w:r>
      <w:r w:rsidR="006B5429" w:rsidRPr="00B171A2">
        <w:t xml:space="preserve">en konkret aktør </w:t>
      </w:r>
      <w:r w:rsidR="006B5429">
        <w:t xml:space="preserve">skal kunne pålægges rettigheder og pligter i forbindelse med en </w:t>
      </w:r>
      <w:r>
        <w:t xml:space="preserve">reguleret </w:t>
      </w:r>
      <w:r w:rsidRPr="00B171A2">
        <w:t>aktivitet</w:t>
      </w:r>
      <w:r w:rsidR="006B5429">
        <w:t xml:space="preserve"> og dermed udgøre et </w:t>
      </w:r>
      <w:proofErr w:type="spellStart"/>
      <w:r w:rsidR="006B5429">
        <w:t>retssubjekt</w:t>
      </w:r>
      <w:proofErr w:type="spellEnd"/>
      <w:r w:rsidR="006B5429">
        <w:t xml:space="preserve">, </w:t>
      </w:r>
      <w:r w:rsidRPr="00B171A2">
        <w:t>kræve</w:t>
      </w:r>
      <w:r>
        <w:t>r det</w:t>
      </w:r>
      <w:r w:rsidRPr="00B171A2">
        <w:t xml:space="preserve">, at den konkrete aktør kan </w:t>
      </w:r>
      <w:r>
        <w:t>råde</w:t>
      </w:r>
      <w:r w:rsidRPr="00B171A2">
        <w:t xml:space="preserve"> over aktivitet</w:t>
      </w:r>
      <w:r w:rsidR="006B5429">
        <w:t>en</w:t>
      </w:r>
      <w:r w:rsidRPr="00B171A2">
        <w:t>.</w:t>
      </w:r>
      <w:r>
        <w:t xml:space="preserve"> </w:t>
      </w:r>
      <w:r w:rsidR="008F023B">
        <w:t>Ikke</w:t>
      </w:r>
      <w:r>
        <w:t xml:space="preserve"> alle samvirkeformer udgør </w:t>
      </w:r>
      <w:r w:rsidR="00381E9F">
        <w:t xml:space="preserve">selvstændige </w:t>
      </w:r>
      <w:proofErr w:type="spellStart"/>
      <w:r>
        <w:t>retssubjekter</w:t>
      </w:r>
      <w:proofErr w:type="spellEnd"/>
      <w:r w:rsidR="008F023B">
        <w:t>, og v</w:t>
      </w:r>
      <w:r w:rsidR="008F023B" w:rsidRPr="002B387D">
        <w:t xml:space="preserve">urderingen </w:t>
      </w:r>
      <w:r w:rsidR="008F023B">
        <w:t xml:space="preserve">af et givent samvirke </w:t>
      </w:r>
      <w:r w:rsidR="008F023B" w:rsidRPr="002B387D">
        <w:t xml:space="preserve">vil derfor </w:t>
      </w:r>
      <w:r w:rsidR="008F023B">
        <w:t xml:space="preserve">kræve </w:t>
      </w:r>
      <w:r w:rsidR="008F023B" w:rsidRPr="002B387D">
        <w:t>identifi</w:t>
      </w:r>
      <w:r w:rsidR="008F023B">
        <w:t>kation af de</w:t>
      </w:r>
      <w:r w:rsidR="008F023B" w:rsidRPr="002B387D">
        <w:t xml:space="preserve"> forhold, der </w:t>
      </w:r>
      <w:r w:rsidR="008F023B">
        <w:t>afgør,</w:t>
      </w:r>
      <w:r w:rsidR="008F023B" w:rsidRPr="002B387D">
        <w:t xml:space="preserve"> at et </w:t>
      </w:r>
      <w:proofErr w:type="spellStart"/>
      <w:r w:rsidR="008F023B" w:rsidRPr="002B387D">
        <w:t>retssubjekt</w:t>
      </w:r>
      <w:proofErr w:type="spellEnd"/>
      <w:r w:rsidR="008F023B" w:rsidRPr="002B387D">
        <w:t xml:space="preserve"> kan siges at være etableret</w:t>
      </w:r>
      <w:r w:rsidR="009C00DF">
        <w:t>.</w:t>
      </w:r>
      <w:r w:rsidR="002B387D">
        <w:rPr>
          <w:rStyle w:val="Fodnotehenvisning"/>
        </w:rPr>
        <w:footnoteReference w:id="5"/>
      </w:r>
      <w:r>
        <w:t xml:space="preserve"> </w:t>
      </w:r>
    </w:p>
    <w:p w14:paraId="6E7779BC" w14:textId="77777777" w:rsidR="00DE2791" w:rsidRDefault="00DE2791" w:rsidP="00DE2791"/>
    <w:p w14:paraId="78860F5D" w14:textId="3A27D444" w:rsidR="00DE2791" w:rsidRDefault="00DE2791" w:rsidP="00DE2791">
      <w:r>
        <w:t xml:space="preserve">Det </w:t>
      </w:r>
      <w:r w:rsidRPr="00B171A2">
        <w:t>væsentlig</w:t>
      </w:r>
      <w:r>
        <w:t>e</w:t>
      </w:r>
      <w:r w:rsidRPr="00B171A2">
        <w:t xml:space="preserve"> </w:t>
      </w:r>
      <w:r>
        <w:t>for</w:t>
      </w:r>
      <w:r w:rsidR="00000456">
        <w:t xml:space="preserve"> Finanstilsynets</w:t>
      </w:r>
      <w:r>
        <w:t xml:space="preserve"> vurderingen af </w:t>
      </w:r>
      <w:proofErr w:type="spellStart"/>
      <w:r>
        <w:t>decentralit</w:t>
      </w:r>
      <w:r w:rsidR="00000456">
        <w:t>et</w:t>
      </w:r>
      <w:proofErr w:type="spellEnd"/>
      <w:r w:rsidR="00381E9F">
        <w:t xml:space="preserve"> er</w:t>
      </w:r>
      <w:r>
        <w:t xml:space="preserve">, </w:t>
      </w:r>
      <w:r w:rsidRPr="00B171A2">
        <w:t xml:space="preserve">om en part kan gøres </w:t>
      </w:r>
      <w:r>
        <w:t xml:space="preserve">til </w:t>
      </w:r>
      <w:r w:rsidRPr="00B171A2">
        <w:t xml:space="preserve">genstand for forpligtigelserne i </w:t>
      </w:r>
      <w:proofErr w:type="spellStart"/>
      <w:r w:rsidRPr="00B171A2">
        <w:t>MiCA</w:t>
      </w:r>
      <w:proofErr w:type="spellEnd"/>
      <w:r>
        <w:t xml:space="preserve">. Det indebærer </w:t>
      </w:r>
      <w:r w:rsidR="008F023B">
        <w:t xml:space="preserve">grundlæggende </w:t>
      </w:r>
      <w:r>
        <w:t xml:space="preserve">en vurdering af, om et </w:t>
      </w:r>
      <w:proofErr w:type="spellStart"/>
      <w:r>
        <w:t>retssubjekt</w:t>
      </w:r>
      <w:proofErr w:type="spellEnd"/>
      <w:r w:rsidR="00381E9F">
        <w:t xml:space="preserve"> indgår en </w:t>
      </w:r>
      <w:r w:rsidR="00E8559F">
        <w:t xml:space="preserve">gyldig </w:t>
      </w:r>
      <w:r w:rsidR="00381E9F">
        <w:t xml:space="preserve">aftale med en tjenestemodtager om at </w:t>
      </w:r>
      <w:r>
        <w:t>levere en reguleret aktivitet</w:t>
      </w:r>
      <w:r w:rsidR="00381E9F">
        <w:t xml:space="preserve">. En aftale er kun gyldig, hvis den indgås mellem </w:t>
      </w:r>
      <w:proofErr w:type="spellStart"/>
      <w:r w:rsidR="00381E9F">
        <w:t>retssubjekter</w:t>
      </w:r>
      <w:proofErr w:type="spellEnd"/>
      <w:r w:rsidR="00381E9F">
        <w:t>, som afgiver</w:t>
      </w:r>
      <w:r w:rsidR="00000456">
        <w:t xml:space="preserve"> </w:t>
      </w:r>
      <w:r w:rsidR="00841C37">
        <w:t xml:space="preserve">bindende </w:t>
      </w:r>
      <w:r w:rsidR="00381E9F">
        <w:t>viljeserklæringer.</w:t>
      </w:r>
      <w:r>
        <w:t xml:space="preserve"> </w:t>
      </w:r>
    </w:p>
    <w:p w14:paraId="4A085C8B" w14:textId="77777777" w:rsidR="00DE2791" w:rsidRDefault="00DE2791" w:rsidP="00DE2791"/>
    <w:p w14:paraId="3DD320C8" w14:textId="0D691CCF" w:rsidR="00DE2791" w:rsidRDefault="00DE2791" w:rsidP="00DE2791">
      <w:r>
        <w:t xml:space="preserve">En </w:t>
      </w:r>
      <w:r w:rsidR="00912982">
        <w:t>viljeserklæring</w:t>
      </w:r>
      <w:r w:rsidRPr="00905DD1">
        <w:t xml:space="preserve"> </w:t>
      </w:r>
      <w:r w:rsidR="00C41EEA">
        <w:t xml:space="preserve">er </w:t>
      </w:r>
      <w:r>
        <w:t xml:space="preserve">enhver </w:t>
      </w:r>
      <w:r w:rsidRPr="00D735A3">
        <w:t>erklæring</w:t>
      </w:r>
      <w:r>
        <w:t xml:space="preserve"> fra en part </w:t>
      </w:r>
      <w:r w:rsidRPr="00D735A3">
        <w:t xml:space="preserve">om, at </w:t>
      </w:r>
      <w:r>
        <w:t>parten</w:t>
      </w:r>
      <w:r w:rsidRPr="00D735A3">
        <w:t xml:space="preserve"> er </w:t>
      </w:r>
      <w:r>
        <w:t>villig</w:t>
      </w:r>
      <w:r w:rsidRPr="00D735A3">
        <w:t xml:space="preserve"> til at forpligte sig</w:t>
      </w:r>
      <w:r>
        <w:t xml:space="preserve"> overfor en anden part,</w:t>
      </w:r>
      <w:r w:rsidRPr="00D735A3">
        <w:t xml:space="preserve"> </w:t>
      </w:r>
      <w:r>
        <w:t>f.eks.</w:t>
      </w:r>
      <w:r w:rsidRPr="00D735A3">
        <w:t xml:space="preserve"> ved </w:t>
      </w:r>
      <w:r>
        <w:t>at lever</w:t>
      </w:r>
      <w:r w:rsidR="00EA0485">
        <w:t>e</w:t>
      </w:r>
      <w:r>
        <w:t xml:space="preserve"> en </w:t>
      </w:r>
      <w:proofErr w:type="spellStart"/>
      <w:r>
        <w:t>kryptoaktivtjeneste</w:t>
      </w:r>
      <w:proofErr w:type="spellEnd"/>
      <w:r>
        <w:t xml:space="preserve">. Der er ingen formkrav til, hvordan en </w:t>
      </w:r>
      <w:r w:rsidR="00912982">
        <w:t>viljeserklæring</w:t>
      </w:r>
      <w:r>
        <w:t xml:space="preserve"> skal afgives. Derfor kan </w:t>
      </w:r>
      <w:r w:rsidR="00C41EEA">
        <w:t xml:space="preserve">f.eks. </w:t>
      </w:r>
      <w:r w:rsidR="00964EBA">
        <w:t>tilgængeliggørelsen af en tjeneste</w:t>
      </w:r>
      <w:r w:rsidR="00841C37">
        <w:t>,</w:t>
      </w:r>
      <w:r w:rsidR="00964EBA">
        <w:t xml:space="preserve"> der frit kan tilgås af offentligheden</w:t>
      </w:r>
      <w:r w:rsidR="00841C37">
        <w:t>,</w:t>
      </w:r>
      <w:r w:rsidR="00964EBA">
        <w:t xml:space="preserve"> </w:t>
      </w:r>
      <w:r>
        <w:t xml:space="preserve">udgøre en </w:t>
      </w:r>
      <w:r w:rsidR="00912982">
        <w:t>viljeserklæring</w:t>
      </w:r>
      <w:r>
        <w:t xml:space="preserve">. Med </w:t>
      </w:r>
      <w:r w:rsidRPr="00645438">
        <w:t>bindende</w:t>
      </w:r>
      <w:r w:rsidRPr="00905DD1">
        <w:t xml:space="preserve"> </w:t>
      </w:r>
      <w:r>
        <w:t>menes</w:t>
      </w:r>
      <w:r w:rsidR="00000456">
        <w:t xml:space="preserve"> bl.a.</w:t>
      </w:r>
      <w:r>
        <w:t>, at parten</w:t>
      </w:r>
      <w:r w:rsidR="00C41EEA">
        <w:t>,</w:t>
      </w:r>
      <w:r>
        <w:t xml:space="preserve"> der afgiver vilje</w:t>
      </w:r>
      <w:r w:rsidR="00841C37">
        <w:t>s</w:t>
      </w:r>
      <w:r>
        <w:t>erklæring</w:t>
      </w:r>
      <w:r w:rsidR="00C41EEA">
        <w:t>en</w:t>
      </w:r>
      <w:r>
        <w:t>, også har den nødvendige retlige handleevne til at indgå en bindende aftale. Dansk ret indeholder ikke en udtømmende liste over ugyldige viljeserklæringer</w:t>
      </w:r>
      <w:r w:rsidR="00A97D90">
        <w:rPr>
          <w:rStyle w:val="Fodnotehenvisning"/>
        </w:rPr>
        <w:footnoteReference w:id="6"/>
      </w:r>
      <w:r w:rsidR="00A35E6E">
        <w:t>.</w:t>
      </w:r>
      <w:r>
        <w:t xml:space="preserve"> Afsnit 3 i aftaleloven regulerer de situationer, hvor en viljeserklæring ikke er i overensstemmelse med erklæringsgiverens vilje, men </w:t>
      </w:r>
      <w:r w:rsidR="00BF3175">
        <w:t xml:space="preserve">aftaleloven </w:t>
      </w:r>
      <w:r>
        <w:t>behandler ikke tilfælde, hvor en erklæringsgiver</w:t>
      </w:r>
      <w:r w:rsidR="00BF3175">
        <w:t xml:space="preserve"> </w:t>
      </w:r>
      <w:r>
        <w:t xml:space="preserve">mangler retlig handleevne. </w:t>
      </w:r>
      <w:r w:rsidR="00BF3175">
        <w:t xml:space="preserve">Et eksempel på dette kunne være, at </w:t>
      </w:r>
      <w:r w:rsidRPr="002C0368">
        <w:t xml:space="preserve">erklæringsgiveren er under værgemål efter værgemålslovens </w:t>
      </w:r>
      <w:r w:rsidR="002C0368" w:rsidRPr="002C0368">
        <w:t>kapital 7</w:t>
      </w:r>
      <w:r w:rsidRPr="002C0368">
        <w:t>.</w:t>
      </w:r>
    </w:p>
    <w:p w14:paraId="6C78EA0E" w14:textId="77777777" w:rsidR="009C00DF" w:rsidRDefault="009C00DF" w:rsidP="00DE2791"/>
    <w:p w14:paraId="32CAD9E7" w14:textId="77777777" w:rsidR="009C00DF" w:rsidRDefault="009C00DF" w:rsidP="00DE2791">
      <w:pPr>
        <w:rPr>
          <w:rFonts w:ascii="Calibri" w:hAnsi="Calibri"/>
          <w:sz w:val="22"/>
        </w:rPr>
      </w:pPr>
    </w:p>
    <w:p w14:paraId="58F9B730" w14:textId="77777777" w:rsidR="00BD2D54" w:rsidRDefault="00BD2D54" w:rsidP="00DE2791"/>
    <w:p w14:paraId="679D5BCA" w14:textId="0963E76C" w:rsidR="00DE2791" w:rsidRPr="00BD2D54" w:rsidRDefault="00BD2D54" w:rsidP="00DE2791">
      <w:pPr>
        <w:rPr>
          <w:i/>
          <w:iCs/>
        </w:rPr>
      </w:pPr>
      <w:r>
        <w:rPr>
          <w:i/>
          <w:iCs/>
        </w:rPr>
        <w:t>Software kan ikke selvstændigt indgå gyldige aftaler</w:t>
      </w:r>
    </w:p>
    <w:p w14:paraId="1AD74AFF" w14:textId="33BBB25D" w:rsidR="00DE2791" w:rsidRDefault="00DE2791" w:rsidP="00DE2791">
      <w:r>
        <w:t xml:space="preserve">Ovennævnte </w:t>
      </w:r>
      <w:r w:rsidR="003D6179">
        <w:t xml:space="preserve">giver ikke under normale omstændigheder </w:t>
      </w:r>
      <w:r>
        <w:t xml:space="preserve">anledning til udfordringer </w:t>
      </w:r>
      <w:r w:rsidR="003D6179">
        <w:t>i forbindelse med</w:t>
      </w:r>
      <w:r>
        <w:t xml:space="preserve"> udbuddet af finansielle tjenester eller udstedelser af finansielle aktiver</w:t>
      </w:r>
      <w:r w:rsidR="003D6179">
        <w:t xml:space="preserve">. Det skyldes, at </w:t>
      </w:r>
      <w:r>
        <w:t xml:space="preserve">de som regel kan henføres til en fysisk eller juridisk person. Vurderingen </w:t>
      </w:r>
      <w:r w:rsidR="003D6179">
        <w:t xml:space="preserve">kan derimod </w:t>
      </w:r>
      <w:r w:rsidR="003D6179">
        <w:lastRenderedPageBreak/>
        <w:t>blive udfordret</w:t>
      </w:r>
      <w:r>
        <w:t xml:space="preserve">, </w:t>
      </w:r>
      <w:r w:rsidR="003D6179">
        <w:t>når</w:t>
      </w:r>
      <w:r>
        <w:t xml:space="preserve"> </w:t>
      </w:r>
      <w:r w:rsidR="003D6179">
        <w:t xml:space="preserve">et </w:t>
      </w:r>
      <w:r>
        <w:t xml:space="preserve">udbud gennemføres ved brug af smartkontrakter på en konventionel blockchain. Smartkontrakter er software, </w:t>
      </w:r>
      <w:r w:rsidR="003D6179">
        <w:t>som i sagens natur ikke har en</w:t>
      </w:r>
      <w:r>
        <w:t xml:space="preserve"> egenvilje</w:t>
      </w:r>
      <w:r w:rsidR="003D6179">
        <w:t xml:space="preserve">, men alene </w:t>
      </w:r>
      <w:r>
        <w:t>gennemfører de handlinger, som det er programmeret til</w:t>
      </w:r>
      <w:r w:rsidR="003D6179">
        <w:t xml:space="preserve">. Det </w:t>
      </w:r>
      <w:r>
        <w:t>kan der</w:t>
      </w:r>
      <w:r w:rsidR="003D6179">
        <w:t>for</w:t>
      </w:r>
      <w:r>
        <w:t xml:space="preserve"> hverken udgøre et </w:t>
      </w:r>
      <w:proofErr w:type="spellStart"/>
      <w:r>
        <w:t>retssubjekt</w:t>
      </w:r>
      <w:proofErr w:type="spellEnd"/>
      <w:r>
        <w:t xml:space="preserve"> eller indgå en bindende </w:t>
      </w:r>
      <w:r w:rsidR="00912982">
        <w:t>viljeserklæring</w:t>
      </w:r>
      <w:r w:rsidR="003D6179">
        <w:t xml:space="preserve"> – og dermed</w:t>
      </w:r>
      <w:r>
        <w:t xml:space="preserve"> heller ikke pålægges et juridisk ansvar eller indgå aftaler i traditionel forstand. Software gennemføre</w:t>
      </w:r>
      <w:r w:rsidR="00D46E3D">
        <w:t>r til gengæld</w:t>
      </w:r>
      <w:r>
        <w:t xml:space="preserve"> andres vilje, f.eks. </w:t>
      </w:r>
      <w:r w:rsidR="00D46E3D">
        <w:t xml:space="preserve">viljen hos </w:t>
      </w:r>
      <w:r>
        <w:t>den fysisk</w:t>
      </w:r>
      <w:r w:rsidR="00D46E3D">
        <w:t>e</w:t>
      </w:r>
      <w:r>
        <w:t xml:space="preserve"> eller juridiske person, der råder over softwaren. En fysisk eller juridisk person </w:t>
      </w:r>
      <w:r w:rsidR="00D46E3D">
        <w:t xml:space="preserve">råder </w:t>
      </w:r>
      <w:r>
        <w:t xml:space="preserve">dog ikke </w:t>
      </w:r>
      <w:r w:rsidR="00D46E3D">
        <w:t>altid</w:t>
      </w:r>
      <w:r>
        <w:t xml:space="preserve"> over udbuddet af </w:t>
      </w:r>
      <w:r w:rsidR="00912982">
        <w:t xml:space="preserve">de </w:t>
      </w:r>
      <w:r>
        <w:t xml:space="preserve">regulerede aktiviteter, </w:t>
      </w:r>
      <w:r w:rsidR="00D46E3D">
        <w:t>når</w:t>
      </w:r>
      <w:r>
        <w:t xml:space="preserve"> udbuddet gennemføres ved brug af smartkontrakter.</w:t>
      </w:r>
      <w:r w:rsidR="00832E25">
        <w:t xml:space="preserve"> F</w:t>
      </w:r>
      <w:r w:rsidRPr="00EA4852">
        <w:t>leksibiliteten i applikationslaget</w:t>
      </w:r>
      <w:r>
        <w:t xml:space="preserve"> på en konventionel blockchain</w:t>
      </w:r>
      <w:r w:rsidRPr="00EA4852">
        <w:t xml:space="preserve"> </w:t>
      </w:r>
      <w:r>
        <w:t xml:space="preserve">muliggør </w:t>
      </w:r>
      <w:r w:rsidR="00832E25">
        <w:t xml:space="preserve">desuden </w:t>
      </w:r>
      <w:r w:rsidRPr="00EA4852">
        <w:t xml:space="preserve">en mere decentral indretning </w:t>
      </w:r>
      <w:r>
        <w:t>af samvirkeformer end de traditionelle, som f.eks. kapitalselskaber</w:t>
      </w:r>
      <w:r w:rsidR="00B83C52">
        <w:t xml:space="preserve">. I </w:t>
      </w:r>
      <w:r w:rsidR="00841C37">
        <w:t xml:space="preserve">de </w:t>
      </w:r>
      <w:r w:rsidR="00B83C52">
        <w:t>tilfælde</w:t>
      </w:r>
      <w:r w:rsidR="00841C37">
        <w:t>,</w:t>
      </w:r>
      <w:r w:rsidR="00B83C52">
        <w:t xml:space="preserve"> hvor et sådant samvirke råder over et udbud af regulerede aktiviteter ved brug af smartkontrakter, er det derfor nødvendigt at vurdere, om samvirket udgør et </w:t>
      </w:r>
      <w:proofErr w:type="spellStart"/>
      <w:r w:rsidR="00B83C52">
        <w:t>retssubjekt</w:t>
      </w:r>
      <w:proofErr w:type="spellEnd"/>
      <w:r w:rsidR="00832E25">
        <w:t>.</w:t>
      </w:r>
      <w:r w:rsidR="00B67CBD">
        <w:t xml:space="preserve"> </w:t>
      </w:r>
    </w:p>
    <w:p w14:paraId="5064E0B8" w14:textId="77777777" w:rsidR="00DE2791" w:rsidRDefault="00DE2791" w:rsidP="00DE2791"/>
    <w:p w14:paraId="2DF746AD" w14:textId="5D57AC4A" w:rsidR="00BD2D54" w:rsidRPr="00BD2D54" w:rsidRDefault="00BD2D54" w:rsidP="00DE2791">
      <w:pPr>
        <w:rPr>
          <w:i/>
          <w:iCs/>
        </w:rPr>
      </w:pPr>
      <w:r>
        <w:rPr>
          <w:i/>
          <w:iCs/>
        </w:rPr>
        <w:t>Betydning for Finanstilsynets vurdering</w:t>
      </w:r>
      <w:r w:rsidR="0015282B">
        <w:rPr>
          <w:i/>
          <w:iCs/>
        </w:rPr>
        <w:t xml:space="preserve"> af </w:t>
      </w:r>
      <w:proofErr w:type="spellStart"/>
      <w:r w:rsidR="0015282B">
        <w:rPr>
          <w:i/>
          <w:iCs/>
        </w:rPr>
        <w:t>decentralitet</w:t>
      </w:r>
      <w:proofErr w:type="spellEnd"/>
    </w:p>
    <w:p w14:paraId="490DC2A4" w14:textId="37C7D14C" w:rsidR="00DE2791" w:rsidRDefault="00DE2791" w:rsidP="00DE2791">
      <w:r>
        <w:t xml:space="preserve">Det </w:t>
      </w:r>
      <w:r w:rsidR="00D46E3D">
        <w:t>afgørende for</w:t>
      </w:r>
      <w:r>
        <w:t xml:space="preserve"> Finanstilsynets vurdering af </w:t>
      </w:r>
      <w:proofErr w:type="spellStart"/>
      <w:r>
        <w:t>decentralitet</w:t>
      </w:r>
      <w:proofErr w:type="spellEnd"/>
      <w:r>
        <w:t xml:space="preserve"> er, om et </w:t>
      </w:r>
      <w:proofErr w:type="spellStart"/>
      <w:r>
        <w:t>retssubjekt</w:t>
      </w:r>
      <w:proofErr w:type="spellEnd"/>
      <w:r>
        <w:t xml:space="preserve"> står bag udstedelsen af et </w:t>
      </w:r>
      <w:proofErr w:type="spellStart"/>
      <w:r>
        <w:t>kryptoaktiv</w:t>
      </w:r>
      <w:proofErr w:type="spellEnd"/>
      <w:r>
        <w:t xml:space="preserve"> eller udbuddet af en </w:t>
      </w:r>
      <w:proofErr w:type="spellStart"/>
      <w:r>
        <w:t>kryptoaktivtjeneste</w:t>
      </w:r>
      <w:proofErr w:type="spellEnd"/>
      <w:r>
        <w:t xml:space="preserve">. </w:t>
      </w:r>
      <w:r w:rsidR="00D46E3D">
        <w:t xml:space="preserve">Et </w:t>
      </w:r>
      <w:proofErr w:type="spellStart"/>
      <w:r w:rsidR="00D46E3D">
        <w:t>retssubjekt</w:t>
      </w:r>
      <w:proofErr w:type="spellEnd"/>
      <w:r>
        <w:t xml:space="preserve"> kan f.eks. være et selskab, </w:t>
      </w:r>
      <w:r w:rsidR="00841C37">
        <w:t>som</w:t>
      </w:r>
      <w:r>
        <w:t xml:space="preserve"> udsteder et </w:t>
      </w:r>
      <w:proofErr w:type="spellStart"/>
      <w:r>
        <w:t>kryptoaktiv</w:t>
      </w:r>
      <w:proofErr w:type="spellEnd"/>
      <w:r>
        <w:t xml:space="preserve"> eller har beføjelser til at råde over de smartkontrakter, der </w:t>
      </w:r>
      <w:r w:rsidR="00D46E3D">
        <w:t>brug</w:t>
      </w:r>
      <w:r>
        <w:t xml:space="preserve">es i udbuddet af </w:t>
      </w:r>
      <w:proofErr w:type="spellStart"/>
      <w:r>
        <w:t>kryptoaktivtjenester</w:t>
      </w:r>
      <w:proofErr w:type="spellEnd"/>
      <w:r>
        <w:t xml:space="preserve">. Er råderetten struktureret i en mere decentral samvirkeform, vil </w:t>
      </w:r>
      <w:r w:rsidR="00D46E3D">
        <w:t xml:space="preserve">Finanstilsynet </w:t>
      </w:r>
      <w:r>
        <w:t xml:space="preserve">først </w:t>
      </w:r>
      <w:r w:rsidR="00D46E3D">
        <w:t>se på</w:t>
      </w:r>
      <w:r>
        <w:t xml:space="preserve">, om samvirket kan sidestilles med et traditionelt </w:t>
      </w:r>
      <w:proofErr w:type="spellStart"/>
      <w:r>
        <w:t>retssubjekt</w:t>
      </w:r>
      <w:proofErr w:type="spellEnd"/>
      <w:r w:rsidR="008818F8">
        <w:t>, og d</w:t>
      </w:r>
      <w:r>
        <w:t>erefter om de</w:t>
      </w:r>
      <w:r w:rsidR="008818F8">
        <w:t>t er muligt at</w:t>
      </w:r>
      <w:r>
        <w:t xml:space="preserve"> identificere forhold, der </w:t>
      </w:r>
      <w:r w:rsidR="008818F8">
        <w:t>kan kvalificere</w:t>
      </w:r>
      <w:r>
        <w:t xml:space="preserve"> samvirket eller deltagere i samvirket</w:t>
      </w:r>
      <w:r w:rsidR="00D46E3D">
        <w:t xml:space="preserve"> </w:t>
      </w:r>
      <w:r>
        <w:t xml:space="preserve">som </w:t>
      </w:r>
      <w:proofErr w:type="spellStart"/>
      <w:r>
        <w:t>retssubjekt</w:t>
      </w:r>
      <w:proofErr w:type="spellEnd"/>
      <w:r>
        <w:t xml:space="preserve">.  </w:t>
      </w:r>
    </w:p>
    <w:p w14:paraId="3EE7A8C1" w14:textId="77777777" w:rsidR="000366A0" w:rsidRDefault="000366A0" w:rsidP="00D23F99">
      <w:pPr>
        <w:pStyle w:val="Brdtekst"/>
      </w:pPr>
    </w:p>
    <w:p w14:paraId="1B5ED9EE" w14:textId="687F8AE8" w:rsidR="00D23F99" w:rsidRDefault="00D23F99" w:rsidP="00D23F99">
      <w:pPr>
        <w:pStyle w:val="Brdtekst"/>
      </w:pPr>
      <w:r w:rsidRPr="00EA4852">
        <w:t>Finanstilsynet</w:t>
      </w:r>
      <w:r w:rsidR="00A03120">
        <w:t>s</w:t>
      </w:r>
      <w:r w:rsidRPr="00EA4852">
        <w:t xml:space="preserve"> vurdering af</w:t>
      </w:r>
      <w:r w:rsidR="00C72785">
        <w:t xml:space="preserve"> </w:t>
      </w:r>
      <w:proofErr w:type="spellStart"/>
      <w:r w:rsidR="00C72785">
        <w:t>decentralitet</w:t>
      </w:r>
      <w:proofErr w:type="spellEnd"/>
      <w:r w:rsidR="00C72785">
        <w:t xml:space="preserve"> </w:t>
      </w:r>
      <w:r w:rsidR="00A03120">
        <w:t>falder der</w:t>
      </w:r>
      <w:r w:rsidR="00A14126">
        <w:t>med</w:t>
      </w:r>
      <w:r w:rsidR="00A03120">
        <w:t xml:space="preserve"> i </w:t>
      </w:r>
      <w:r w:rsidRPr="00EA4852">
        <w:t>to</w:t>
      </w:r>
      <w:r w:rsidR="00A03120">
        <w:t xml:space="preserve"> </w:t>
      </w:r>
      <w:r w:rsidRPr="00EA4852">
        <w:t>del</w:t>
      </w:r>
      <w:r w:rsidR="00A03120">
        <w:t>e</w:t>
      </w:r>
      <w:r w:rsidRPr="00EA4852">
        <w:t xml:space="preserve">: </w:t>
      </w:r>
    </w:p>
    <w:p w14:paraId="41918117" w14:textId="77777777" w:rsidR="008818F8" w:rsidRDefault="008818F8" w:rsidP="00D23F99">
      <w:pPr>
        <w:pStyle w:val="Brdtekst"/>
      </w:pPr>
    </w:p>
    <w:p w14:paraId="1688587B" w14:textId="60C0DB4C" w:rsidR="00D23F99" w:rsidRDefault="00D23F99" w:rsidP="00D23F99">
      <w:pPr>
        <w:pStyle w:val="Brdtekst"/>
        <w:numPr>
          <w:ilvl w:val="0"/>
          <w:numId w:val="12"/>
        </w:numPr>
      </w:pPr>
      <w:r w:rsidRPr="00EA4852">
        <w:rPr>
          <w:b/>
        </w:rPr>
        <w:t xml:space="preserve">Teknisk </w:t>
      </w:r>
      <w:proofErr w:type="spellStart"/>
      <w:r w:rsidRPr="00EA4852">
        <w:rPr>
          <w:b/>
        </w:rPr>
        <w:t>decentralitet</w:t>
      </w:r>
      <w:proofErr w:type="spellEnd"/>
      <w:r w:rsidRPr="00EA4852">
        <w:rPr>
          <w:b/>
        </w:rPr>
        <w:t>:</w:t>
      </w:r>
      <w:r w:rsidRPr="00EA4852">
        <w:t xml:space="preserve"> </w:t>
      </w:r>
      <w:r w:rsidR="00A03120">
        <w:t>Finanstilsynet vurderer, om d</w:t>
      </w:r>
      <w:r w:rsidRPr="00EA4852">
        <w:t xml:space="preserve">en regulerede aktivitet </w:t>
      </w:r>
      <w:r w:rsidR="0082629A">
        <w:t>udelukkende</w:t>
      </w:r>
      <w:r w:rsidRPr="00EA4852">
        <w:t xml:space="preserve"> </w:t>
      </w:r>
      <w:r w:rsidR="00A03120" w:rsidRPr="00EA4852">
        <w:t>udbydes</w:t>
      </w:r>
      <w:r w:rsidR="00A03120" w:rsidRPr="0082629A">
        <w:t xml:space="preserve"> </w:t>
      </w:r>
      <w:r w:rsidRPr="00EA4852">
        <w:t xml:space="preserve">gennem brug </w:t>
      </w:r>
      <w:r w:rsidR="00C1424A">
        <w:t xml:space="preserve">af smartkontrakter, som et </w:t>
      </w:r>
      <w:proofErr w:type="spellStart"/>
      <w:r w:rsidR="00C1424A">
        <w:t>retssubjekt</w:t>
      </w:r>
      <w:proofErr w:type="spellEnd"/>
      <w:r w:rsidR="00C1424A">
        <w:t xml:space="preserve"> ikke kan siges at </w:t>
      </w:r>
      <w:r w:rsidR="00242C59">
        <w:t>råde</w:t>
      </w:r>
      <w:r w:rsidR="00C1424A">
        <w:t xml:space="preserve"> over</w:t>
      </w:r>
      <w:r w:rsidRPr="00EA4852">
        <w:t xml:space="preserve">. </w:t>
      </w:r>
    </w:p>
    <w:p w14:paraId="16E0A3A8" w14:textId="5A362330" w:rsidR="00D23F99" w:rsidRDefault="00D23F99" w:rsidP="00D23F99">
      <w:pPr>
        <w:pStyle w:val="Brdtekst"/>
        <w:numPr>
          <w:ilvl w:val="0"/>
          <w:numId w:val="12"/>
        </w:numPr>
      </w:pPr>
      <w:r w:rsidRPr="00C36776">
        <w:rPr>
          <w:b/>
        </w:rPr>
        <w:t>Decentral ledelse:</w:t>
      </w:r>
      <w:r w:rsidRPr="00EA4852">
        <w:t xml:space="preserve"> </w:t>
      </w:r>
      <w:r>
        <w:t>Hvis</w:t>
      </w:r>
      <w:r w:rsidRPr="00EA4852">
        <w:t xml:space="preserve"> det tekniske udbud af en reguleret </w:t>
      </w:r>
      <w:r>
        <w:t>aktivitet</w:t>
      </w:r>
      <w:r w:rsidRPr="00EA4852">
        <w:t xml:space="preserve"> ikke </w:t>
      </w:r>
      <w:r w:rsidR="00A03120">
        <w:t>vurderes som decentralt</w:t>
      </w:r>
      <w:r w:rsidRPr="00EA4852">
        <w:t xml:space="preserve">, </w:t>
      </w:r>
      <w:r>
        <w:t>vurdere</w:t>
      </w:r>
      <w:r w:rsidR="00A03120">
        <w:t>r Finanstilsynet</w:t>
      </w:r>
      <w:r w:rsidR="00424C33">
        <w:t>,</w:t>
      </w:r>
      <w:r>
        <w:t xml:space="preserve"> om </w:t>
      </w:r>
      <w:r w:rsidR="00F45A4D">
        <w:t xml:space="preserve">den ledelsesmæssige råderet over </w:t>
      </w:r>
      <w:r>
        <w:t>udbuddet</w:t>
      </w:r>
      <w:r w:rsidR="00F45A4D">
        <w:t xml:space="preserve"> kan henføres til et </w:t>
      </w:r>
      <w:proofErr w:type="spellStart"/>
      <w:r w:rsidR="00F45A4D">
        <w:t>retssubjekt</w:t>
      </w:r>
      <w:proofErr w:type="spellEnd"/>
      <w:r>
        <w:t xml:space="preserve">. </w:t>
      </w:r>
    </w:p>
    <w:p w14:paraId="4082A703" w14:textId="03BE4F1F" w:rsidR="00D23F99" w:rsidRDefault="00D23F99" w:rsidP="00B867EF"/>
    <w:p w14:paraId="6AA97821" w14:textId="5858E0F3" w:rsidR="00C1424A" w:rsidRDefault="00C1424A" w:rsidP="00C1424A">
      <w:pPr>
        <w:pStyle w:val="Overskrift2"/>
      </w:pPr>
      <w:bookmarkStart w:id="14" w:name="_Toc170130144"/>
      <w:r>
        <w:t>5.</w:t>
      </w:r>
      <w:r w:rsidR="00DE2791">
        <w:t>2</w:t>
      </w:r>
      <w:r>
        <w:t xml:space="preserve">. </w:t>
      </w:r>
      <w:r w:rsidR="005F5C25">
        <w:t>T</w:t>
      </w:r>
      <w:r>
        <w:t xml:space="preserve">eknisk </w:t>
      </w:r>
      <w:r w:rsidR="005F5C25">
        <w:t xml:space="preserve">decentralt </w:t>
      </w:r>
      <w:r>
        <w:t>udbud af regulerede aktiviteter</w:t>
      </w:r>
      <w:bookmarkEnd w:id="14"/>
      <w:r>
        <w:t xml:space="preserve"> </w:t>
      </w:r>
    </w:p>
    <w:p w14:paraId="02726ABA" w14:textId="50EF5952" w:rsidR="00C1424A" w:rsidRDefault="00C1424A" w:rsidP="00C1424A">
      <w:pPr>
        <w:rPr>
          <w:iCs/>
        </w:rPr>
      </w:pPr>
      <w:r>
        <w:t>F</w:t>
      </w:r>
      <w:r w:rsidRPr="001D0740">
        <w:t xml:space="preserve">igur </w:t>
      </w:r>
      <w:r w:rsidR="00A24145">
        <w:t xml:space="preserve">4 </w:t>
      </w:r>
      <w:r>
        <w:t>opsummer de spørgsmål</w:t>
      </w:r>
      <w:r w:rsidRPr="001D0740">
        <w:t xml:space="preserve">, der </w:t>
      </w:r>
      <w:r>
        <w:t xml:space="preserve">danner udgangspunkt for Finanstilsynets </w:t>
      </w:r>
      <w:r w:rsidRPr="001D0740">
        <w:t xml:space="preserve">vurdering af </w:t>
      </w:r>
      <w:r>
        <w:t xml:space="preserve">teknisk </w:t>
      </w:r>
      <w:proofErr w:type="spellStart"/>
      <w:r w:rsidRPr="001D0740">
        <w:t>decentralitet</w:t>
      </w:r>
      <w:proofErr w:type="spellEnd"/>
      <w:r w:rsidRPr="001D0740">
        <w:t xml:space="preserve">. </w:t>
      </w:r>
      <w:r>
        <w:t xml:space="preserve">Deltagelsen i udbuddet af </w:t>
      </w:r>
      <w:r w:rsidR="00E706B3">
        <w:t xml:space="preserve">DLT-systemet </w:t>
      </w:r>
      <w:r>
        <w:t>udgør ikke</w:t>
      </w:r>
      <w:r w:rsidR="00A03120">
        <w:t xml:space="preserve"> i sig selv </w:t>
      </w:r>
      <w:r>
        <w:t>en reguleret aktivitet, men kan i visse tilfælde medføre et ansvar for de regulerede aktiviteter,</w:t>
      </w:r>
      <w:r w:rsidR="00964EBA">
        <w:t xml:space="preserve"> der kan tilgås </w:t>
      </w:r>
      <w:r w:rsidR="00E706B3">
        <w:t>i systemet</w:t>
      </w:r>
      <w:r>
        <w:t xml:space="preserve">. </w:t>
      </w:r>
      <w:r>
        <w:rPr>
          <w:iCs/>
        </w:rPr>
        <w:t xml:space="preserve">Derfor </w:t>
      </w:r>
      <w:r w:rsidR="009B2047">
        <w:rPr>
          <w:iCs/>
        </w:rPr>
        <w:t xml:space="preserve">forholder </w:t>
      </w:r>
      <w:r w:rsidR="00A03120">
        <w:rPr>
          <w:iCs/>
        </w:rPr>
        <w:t xml:space="preserve">Finanstilsynet </w:t>
      </w:r>
      <w:r w:rsidR="009B2047">
        <w:rPr>
          <w:iCs/>
        </w:rPr>
        <w:t xml:space="preserve">sig også til, </w:t>
      </w:r>
      <w:r>
        <w:rPr>
          <w:iCs/>
        </w:rPr>
        <w:t>om udbydere af DLT-</w:t>
      </w:r>
      <w:r w:rsidR="00E706B3">
        <w:rPr>
          <w:iCs/>
        </w:rPr>
        <w:t xml:space="preserve">systemer </w:t>
      </w:r>
      <w:r>
        <w:rPr>
          <w:iCs/>
        </w:rPr>
        <w:t xml:space="preserve">kan siges at </w:t>
      </w:r>
      <w:r w:rsidR="00242C59">
        <w:rPr>
          <w:iCs/>
        </w:rPr>
        <w:t>råde</w:t>
      </w:r>
      <w:r>
        <w:rPr>
          <w:iCs/>
        </w:rPr>
        <w:t xml:space="preserve"> </w:t>
      </w:r>
      <w:r w:rsidR="00B04AB1">
        <w:rPr>
          <w:iCs/>
        </w:rPr>
        <w:t xml:space="preserve">over </w:t>
      </w:r>
      <w:r>
        <w:rPr>
          <w:iCs/>
        </w:rPr>
        <w:t>regulerede aktiviteter</w:t>
      </w:r>
      <w:r w:rsidR="008B16CF">
        <w:rPr>
          <w:iCs/>
        </w:rPr>
        <w:t>, som er</w:t>
      </w:r>
      <w:r>
        <w:rPr>
          <w:iCs/>
        </w:rPr>
        <w:t xml:space="preserve"> tilgængelig</w:t>
      </w:r>
      <w:r w:rsidR="008B16CF">
        <w:rPr>
          <w:iCs/>
        </w:rPr>
        <w:t>e</w:t>
      </w:r>
      <w:r>
        <w:rPr>
          <w:iCs/>
        </w:rPr>
        <w:t xml:space="preserve"> i </w:t>
      </w:r>
      <w:r w:rsidR="00E706B3">
        <w:rPr>
          <w:iCs/>
        </w:rPr>
        <w:t>systemerne</w:t>
      </w:r>
      <w:r>
        <w:rPr>
          <w:iCs/>
        </w:rPr>
        <w:t>.</w:t>
      </w:r>
    </w:p>
    <w:p w14:paraId="20A3BD3F" w14:textId="77777777" w:rsidR="009C00DF" w:rsidRDefault="009C00DF" w:rsidP="00C1424A">
      <w:pPr>
        <w:rPr>
          <w:iCs/>
        </w:rPr>
      </w:pPr>
    </w:p>
    <w:p w14:paraId="31AA1509" w14:textId="77777777" w:rsidR="009C00DF" w:rsidRDefault="009C00DF" w:rsidP="009C00DF">
      <w:r>
        <w:t>Ikke alle regulerede aktiviteter kan udbydes teknisk decentralt. Smartkontrakter kan kun udføre opgaver efter en vis logik, der er programmeret på forhånd. Derfor kan smartkontrakter</w:t>
      </w:r>
      <w:r w:rsidRPr="00AA63AA">
        <w:t xml:space="preserve"> </w:t>
      </w:r>
      <w:r>
        <w:t xml:space="preserve">som udgangspunkt ikke bruges til at udbyde tjenesteydelser, som forudsætter interaktion med kunden, eller som forudsætter menneskelig dømmekraft. Eksempler på sådanne tjenesteydelser kunne være investeringsrådgivning og skønsmæssige porteføljeplejeordninger. </w:t>
      </w:r>
    </w:p>
    <w:p w14:paraId="255DE7D5" w14:textId="7431B25C" w:rsidR="008665C8" w:rsidRDefault="008665C8" w:rsidP="00C1424A">
      <w:pPr>
        <w:rPr>
          <w:iCs/>
        </w:rPr>
      </w:pPr>
    </w:p>
    <w:p w14:paraId="13DDF7F8" w14:textId="58ADC10A" w:rsidR="00C1424A" w:rsidRDefault="00C1424A" w:rsidP="00C1424A">
      <w:pPr>
        <w:rPr>
          <w:b/>
          <w:bCs/>
        </w:rPr>
      </w:pPr>
      <w:r w:rsidRPr="001D0740">
        <w:rPr>
          <w:b/>
          <w:bCs/>
        </w:rPr>
        <w:t xml:space="preserve">Figur </w:t>
      </w:r>
      <w:r w:rsidR="00A24145">
        <w:rPr>
          <w:b/>
          <w:bCs/>
        </w:rPr>
        <w:t>4</w:t>
      </w:r>
      <w:r>
        <w:rPr>
          <w:b/>
          <w:bCs/>
        </w:rPr>
        <w:t xml:space="preserve"> – Spørgsmål til afklaring i vurdering af teknisk </w:t>
      </w:r>
      <w:proofErr w:type="spellStart"/>
      <w:r>
        <w:rPr>
          <w:b/>
          <w:bCs/>
        </w:rPr>
        <w:t>decentralitet</w:t>
      </w:r>
      <w:proofErr w:type="spellEnd"/>
      <w:r>
        <w:rPr>
          <w:b/>
          <w:bCs/>
        </w:rPr>
        <w:t xml:space="preserve"> </w:t>
      </w:r>
    </w:p>
    <w:p w14:paraId="457EAE4C" w14:textId="21009794" w:rsidR="00C1424A" w:rsidRDefault="006C09FB" w:rsidP="00645438">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rPr>
          <w:b/>
          <w:sz w:val="16"/>
          <w:szCs w:val="16"/>
        </w:rPr>
      </w:pPr>
      <w:r w:rsidRPr="002F1A49">
        <w:rPr>
          <w:b/>
          <w:noProof/>
          <w:sz w:val="16"/>
          <w:szCs w:val="16"/>
        </w:rPr>
        <w:drawing>
          <wp:anchor distT="0" distB="0" distL="114300" distR="114300" simplePos="0" relativeHeight="251654144" behindDoc="1" locked="0" layoutInCell="1" allowOverlap="1" wp14:anchorId="571D4437" wp14:editId="0134370F">
            <wp:simplePos x="0" y="0"/>
            <wp:positionH relativeFrom="column">
              <wp:posOffset>3810</wp:posOffset>
            </wp:positionH>
            <wp:positionV relativeFrom="paragraph">
              <wp:posOffset>97526</wp:posOffset>
            </wp:positionV>
            <wp:extent cx="5400040" cy="2379345"/>
            <wp:effectExtent l="0" t="0" r="0" b="1905"/>
            <wp:wrapNone/>
            <wp:docPr id="2049887372" name="Billede 2" descr="Et billede, der indeholder tekst, skærmbillede, Font/skrifttype, nummer/tal">
              <a:extLst xmlns:a="http://schemas.openxmlformats.org/drawingml/2006/main">
                <a:ext uri="{FF2B5EF4-FFF2-40B4-BE49-F238E27FC236}">
                  <a16:creationId xmlns:a16="http://schemas.microsoft.com/office/drawing/2014/main" id="{99B934DC-2A3C-FB36-B9B0-FB55554585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87372" name="Billede 2" descr="Et billede, der indeholder tekst, skærmbillede, Font/skrifttype, nummer/tal">
                      <a:extLst>
                        <a:ext uri="{FF2B5EF4-FFF2-40B4-BE49-F238E27FC236}">
                          <a16:creationId xmlns:a16="http://schemas.microsoft.com/office/drawing/2014/main" id="{99B934DC-2A3C-FB36-B9B0-FB55554585C2}"/>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00040" cy="2379345"/>
                    </a:xfrm>
                    <a:prstGeom prst="rect">
                      <a:avLst/>
                    </a:prstGeom>
                  </pic:spPr>
                </pic:pic>
              </a:graphicData>
            </a:graphic>
            <wp14:sizeRelH relativeFrom="page">
              <wp14:pctWidth>0</wp14:pctWidth>
            </wp14:sizeRelH>
            <wp14:sizeRelV relativeFrom="page">
              <wp14:pctHeight>0</wp14:pctHeight>
            </wp14:sizeRelV>
          </wp:anchor>
        </w:drawing>
      </w:r>
      <w:r w:rsidR="002904CA">
        <w:rPr>
          <w:b/>
          <w:sz w:val="16"/>
          <w:szCs w:val="16"/>
        </w:rPr>
        <w:tab/>
      </w:r>
    </w:p>
    <w:p w14:paraId="27F18535" w14:textId="1D5BB93B" w:rsidR="00C1424A" w:rsidRDefault="002904CA" w:rsidP="00645438">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rPr>
          <w:b/>
          <w:sz w:val="16"/>
          <w:szCs w:val="16"/>
        </w:rPr>
      </w:pPr>
      <w:r>
        <w:rPr>
          <w:b/>
          <w:sz w:val="16"/>
          <w:szCs w:val="16"/>
        </w:rPr>
        <w:tab/>
      </w:r>
    </w:p>
    <w:p w14:paraId="779015CC" w14:textId="77777777" w:rsidR="00C1424A" w:rsidRDefault="00C1424A" w:rsidP="00645438">
      <w:pPr>
        <w:ind w:firstLine="1304"/>
        <w:rPr>
          <w:b/>
          <w:sz w:val="16"/>
          <w:szCs w:val="16"/>
        </w:rPr>
      </w:pPr>
    </w:p>
    <w:p w14:paraId="6DA12140" w14:textId="77777777" w:rsidR="00C1424A" w:rsidRDefault="00C1424A" w:rsidP="00C1424A">
      <w:pPr>
        <w:rPr>
          <w:b/>
          <w:sz w:val="16"/>
          <w:szCs w:val="16"/>
        </w:rPr>
      </w:pPr>
    </w:p>
    <w:p w14:paraId="5985950D" w14:textId="77777777" w:rsidR="00C1424A" w:rsidRDefault="00C1424A" w:rsidP="00C1424A">
      <w:pPr>
        <w:rPr>
          <w:b/>
          <w:sz w:val="16"/>
          <w:szCs w:val="16"/>
        </w:rPr>
      </w:pPr>
    </w:p>
    <w:p w14:paraId="74B3F6DA" w14:textId="77777777" w:rsidR="00C1424A" w:rsidRDefault="00C1424A" w:rsidP="00C1424A">
      <w:pPr>
        <w:rPr>
          <w:b/>
          <w:sz w:val="16"/>
          <w:szCs w:val="16"/>
        </w:rPr>
      </w:pPr>
    </w:p>
    <w:p w14:paraId="3711EEF3" w14:textId="77777777" w:rsidR="00C1424A" w:rsidRDefault="00C1424A" w:rsidP="00C1424A">
      <w:pPr>
        <w:rPr>
          <w:b/>
          <w:sz w:val="16"/>
          <w:szCs w:val="16"/>
        </w:rPr>
      </w:pPr>
    </w:p>
    <w:p w14:paraId="4608AD87" w14:textId="77777777" w:rsidR="00C1424A" w:rsidRDefault="00C1424A" w:rsidP="00C1424A">
      <w:pPr>
        <w:rPr>
          <w:b/>
          <w:sz w:val="16"/>
          <w:szCs w:val="16"/>
        </w:rPr>
      </w:pPr>
    </w:p>
    <w:p w14:paraId="55F5F84C" w14:textId="77777777" w:rsidR="00C1424A" w:rsidRDefault="00C1424A" w:rsidP="00C1424A">
      <w:pPr>
        <w:rPr>
          <w:b/>
          <w:sz w:val="16"/>
          <w:szCs w:val="16"/>
        </w:rPr>
      </w:pPr>
    </w:p>
    <w:p w14:paraId="584356CC" w14:textId="77777777" w:rsidR="00C1424A" w:rsidRDefault="00C1424A" w:rsidP="00C1424A">
      <w:pPr>
        <w:rPr>
          <w:b/>
          <w:sz w:val="16"/>
          <w:szCs w:val="16"/>
        </w:rPr>
      </w:pPr>
    </w:p>
    <w:p w14:paraId="14BE2C14" w14:textId="77777777" w:rsidR="00B04AB1" w:rsidRDefault="00B04AB1" w:rsidP="00C1424A">
      <w:pPr>
        <w:rPr>
          <w:b/>
          <w:sz w:val="16"/>
          <w:szCs w:val="16"/>
        </w:rPr>
      </w:pPr>
    </w:p>
    <w:p w14:paraId="360302C0" w14:textId="77777777" w:rsidR="00B04AB1" w:rsidRDefault="00B04AB1" w:rsidP="00C1424A">
      <w:pPr>
        <w:rPr>
          <w:b/>
          <w:sz w:val="16"/>
          <w:szCs w:val="16"/>
        </w:rPr>
      </w:pPr>
    </w:p>
    <w:p w14:paraId="2A65AC1F" w14:textId="77777777" w:rsidR="00C1424A" w:rsidRDefault="00C1424A" w:rsidP="00C1424A">
      <w:pPr>
        <w:rPr>
          <w:b/>
          <w:sz w:val="16"/>
          <w:szCs w:val="16"/>
        </w:rPr>
      </w:pPr>
    </w:p>
    <w:p w14:paraId="1D72A14E" w14:textId="77777777" w:rsidR="006C09FB" w:rsidRDefault="006C09FB" w:rsidP="00C1424A">
      <w:pPr>
        <w:rPr>
          <w:b/>
          <w:sz w:val="18"/>
          <w:szCs w:val="24"/>
        </w:rPr>
      </w:pPr>
    </w:p>
    <w:p w14:paraId="3766627F" w14:textId="79D93928" w:rsidR="00C1424A" w:rsidRPr="00B52CE5" w:rsidRDefault="00C1424A" w:rsidP="00C1424A">
      <w:pPr>
        <w:rPr>
          <w:sz w:val="18"/>
          <w:szCs w:val="24"/>
        </w:rPr>
      </w:pPr>
      <w:r w:rsidRPr="00B52CE5">
        <w:rPr>
          <w:b/>
          <w:sz w:val="18"/>
          <w:szCs w:val="24"/>
        </w:rPr>
        <w:t xml:space="preserve">Kilde: </w:t>
      </w:r>
      <w:r w:rsidRPr="00B52CE5">
        <w:rPr>
          <w:sz w:val="18"/>
          <w:szCs w:val="24"/>
        </w:rPr>
        <w:t>Finanstilsynet</w:t>
      </w:r>
    </w:p>
    <w:p w14:paraId="51D2CB29" w14:textId="77777777" w:rsidR="00E92B4B" w:rsidRDefault="00E92B4B" w:rsidP="00C1424A"/>
    <w:p w14:paraId="675469E5" w14:textId="18F4CB36" w:rsidR="00B04AB1" w:rsidRDefault="00B04AB1" w:rsidP="00F64657">
      <w:pPr>
        <w:pStyle w:val="Overskrift3"/>
      </w:pPr>
      <w:r>
        <w:t>5.</w:t>
      </w:r>
      <w:r w:rsidR="00DE2791">
        <w:t>2</w:t>
      </w:r>
      <w:r>
        <w:t>.1. Udbud af regulerede aktiviteter med smartkontrakter</w:t>
      </w:r>
    </w:p>
    <w:p w14:paraId="2C6F538E" w14:textId="61EB4663" w:rsidR="00B04AB1" w:rsidRDefault="00B04AB1" w:rsidP="00B04AB1">
      <w:r>
        <w:t xml:space="preserve">Smartkontrakter </w:t>
      </w:r>
      <w:r w:rsidR="00E92B4B">
        <w:t xml:space="preserve">på konventionelle blockchains </w:t>
      </w:r>
      <w:r>
        <w:t xml:space="preserve">kan udføre handlinger med </w:t>
      </w:r>
      <w:proofErr w:type="spellStart"/>
      <w:r>
        <w:t>kryptoaktiver</w:t>
      </w:r>
      <w:proofErr w:type="spellEnd"/>
      <w:r>
        <w:t xml:space="preserve"> </w:t>
      </w:r>
      <w:r w:rsidR="00001050">
        <w:t>tilgængeliggjort</w:t>
      </w:r>
      <w:r>
        <w:t xml:space="preserve"> på blockchainen. De kan derfor både </w:t>
      </w:r>
      <w:r w:rsidR="00244987">
        <w:t>brug</w:t>
      </w:r>
      <w:r>
        <w:t xml:space="preserve">es til at udstede </w:t>
      </w:r>
      <w:proofErr w:type="spellStart"/>
      <w:r>
        <w:t>kryptoaktiver</w:t>
      </w:r>
      <w:proofErr w:type="spellEnd"/>
      <w:r>
        <w:t xml:space="preserve"> og til at udbyde flere </w:t>
      </w:r>
      <w:proofErr w:type="spellStart"/>
      <w:r>
        <w:t>kryptoaktivtjenester</w:t>
      </w:r>
      <w:proofErr w:type="spellEnd"/>
      <w:r>
        <w:t xml:space="preserve"> omfattet af </w:t>
      </w:r>
      <w:proofErr w:type="spellStart"/>
      <w:r>
        <w:t>MiCA</w:t>
      </w:r>
      <w:proofErr w:type="spellEnd"/>
      <w:r>
        <w:t xml:space="preserve">. </w:t>
      </w:r>
    </w:p>
    <w:p w14:paraId="326CBB80" w14:textId="77777777" w:rsidR="00BF6F2F" w:rsidRDefault="00BF6F2F" w:rsidP="00B04AB1">
      <w:pPr>
        <w:rPr>
          <w:rFonts w:eastAsia="Arial" w:cs="Arial"/>
          <w:b/>
          <w:i/>
          <w:iCs/>
          <w:color w:val="000000"/>
          <w:szCs w:val="21"/>
        </w:rPr>
      </w:pPr>
    </w:p>
    <w:p w14:paraId="71084D80" w14:textId="29C2F772" w:rsidR="001C0707" w:rsidRPr="00BF6F2F" w:rsidRDefault="00BF6F2F" w:rsidP="00BF6F2F">
      <w:pPr>
        <w:pStyle w:val="Overskrift3"/>
        <w:rPr>
          <w:rFonts w:eastAsia="Arial"/>
        </w:rPr>
      </w:pPr>
      <w:r>
        <w:rPr>
          <w:rFonts w:eastAsia="Arial"/>
        </w:rPr>
        <w:t xml:space="preserve">5.2.1.1. </w:t>
      </w:r>
      <w:r w:rsidR="001C0707" w:rsidRPr="00BF6F2F">
        <w:rPr>
          <w:rFonts w:eastAsia="Arial"/>
        </w:rPr>
        <w:t>Selveksekverende programmerbare handlinger</w:t>
      </w:r>
    </w:p>
    <w:p w14:paraId="0F6909F5" w14:textId="64F5BF80" w:rsidR="00B04AB1" w:rsidRDefault="00B04AB1" w:rsidP="00B04AB1">
      <w:r>
        <w:t xml:space="preserve">Smartkontrakter udstedt på </w:t>
      </w:r>
      <w:proofErr w:type="spellStart"/>
      <w:r>
        <w:t>Ethereum</w:t>
      </w:r>
      <w:proofErr w:type="spellEnd"/>
      <w:r>
        <w:t xml:space="preserve"> er per definition selveksekverende. Det </w:t>
      </w:r>
      <w:r w:rsidR="00244987">
        <w:t>betyder</w:t>
      </w:r>
      <w:r>
        <w:t>, at de udfører de</w:t>
      </w:r>
      <w:r w:rsidR="00964EBA">
        <w:t xml:space="preserve"> handlinger</w:t>
      </w:r>
      <w:r>
        <w:t xml:space="preserve">, de er programmeret til, når brugeren </w:t>
      </w:r>
      <w:r w:rsidR="00244987">
        <w:t>be</w:t>
      </w:r>
      <w:r w:rsidR="00462C7D">
        <w:t>der</w:t>
      </w:r>
      <w:r w:rsidR="00E706B3">
        <w:t xml:space="preserve"> om</w:t>
      </w:r>
      <w:r w:rsidR="00244987">
        <w:t xml:space="preserve"> det</w:t>
      </w:r>
      <w:r>
        <w:t xml:space="preserve">, </w:t>
      </w:r>
      <w:r w:rsidR="00244987">
        <w:t xml:space="preserve">og </w:t>
      </w:r>
      <w:r>
        <w:t xml:space="preserve">hvis </w:t>
      </w:r>
      <w:r w:rsidR="00462C7D">
        <w:t xml:space="preserve">anmodningen </w:t>
      </w:r>
      <w:r>
        <w:t>opfylder kravene for gennemfør</w:t>
      </w:r>
      <w:r w:rsidR="00244987">
        <w:t>else</w:t>
      </w:r>
      <w:r>
        <w:t xml:space="preserve">. I eksemplet </w:t>
      </w:r>
      <w:r w:rsidR="00244987">
        <w:t xml:space="preserve">i afsnit 4.2 </w:t>
      </w:r>
      <w:r>
        <w:t xml:space="preserve">betyder det, at </w:t>
      </w:r>
      <w:proofErr w:type="spellStart"/>
      <w:r>
        <w:t>DEX</w:t>
      </w:r>
      <w:r w:rsidR="00244987">
        <w:t>’</w:t>
      </w:r>
      <w:r>
        <w:t>en</w:t>
      </w:r>
      <w:proofErr w:type="spellEnd"/>
      <w:r>
        <w:t xml:space="preserve"> automatisk </w:t>
      </w:r>
      <w:r w:rsidR="00244987">
        <w:t>begynder</w:t>
      </w:r>
      <w:r>
        <w:t xml:space="preserve"> </w:t>
      </w:r>
      <w:r w:rsidR="00244987">
        <w:t xml:space="preserve">at </w:t>
      </w:r>
      <w:r>
        <w:t>gennemfør</w:t>
      </w:r>
      <w:r w:rsidR="00244987">
        <w:t>e</w:t>
      </w:r>
      <w:r>
        <w:t xml:space="preserve"> ordren, så snart interfacet har kommunikeret ordren til smartkontrakterne. </w:t>
      </w:r>
      <w:r w:rsidR="008D5076">
        <w:t xml:space="preserve">Hvis </w:t>
      </w:r>
      <w:r w:rsidR="00462C7D">
        <w:t>brugeren</w:t>
      </w:r>
      <w:r>
        <w:t xml:space="preserve"> </w:t>
      </w:r>
      <w:r w:rsidR="008D5076">
        <w:t xml:space="preserve">anmoder </w:t>
      </w:r>
      <w:r>
        <w:t xml:space="preserve">om at handle et </w:t>
      </w:r>
      <w:proofErr w:type="spellStart"/>
      <w:r>
        <w:t>kryptoaktiv</w:t>
      </w:r>
      <w:proofErr w:type="spellEnd"/>
      <w:r>
        <w:t xml:space="preserve">, der ikke </w:t>
      </w:r>
      <w:r w:rsidR="008D5076">
        <w:t xml:space="preserve">opfylder reglerne for </w:t>
      </w:r>
      <w:r>
        <w:t>hand</w:t>
      </w:r>
      <w:r w:rsidR="008D5076">
        <w:t>el</w:t>
      </w:r>
      <w:r>
        <w:t xml:space="preserve"> på </w:t>
      </w:r>
      <w:proofErr w:type="spellStart"/>
      <w:r>
        <w:t>DEX</w:t>
      </w:r>
      <w:r w:rsidR="008D5076">
        <w:t>’</w:t>
      </w:r>
      <w:r>
        <w:t>en</w:t>
      </w:r>
      <w:proofErr w:type="spellEnd"/>
      <w:r>
        <w:t xml:space="preserve">, </w:t>
      </w:r>
      <w:r w:rsidR="008D5076">
        <w:t xml:space="preserve">bliver </w:t>
      </w:r>
      <w:r>
        <w:t xml:space="preserve">ordren afvist. </w:t>
      </w:r>
    </w:p>
    <w:p w14:paraId="215A932B" w14:textId="77777777" w:rsidR="006C09FB" w:rsidRDefault="006C09FB" w:rsidP="00B04AB1"/>
    <w:p w14:paraId="4BAFBE77" w14:textId="04931AC2" w:rsidR="00B04AB1" w:rsidRDefault="00F71F99" w:rsidP="00B04AB1">
      <w:r>
        <w:rPr>
          <w:noProof/>
        </w:rPr>
        <mc:AlternateContent>
          <mc:Choice Requires="wps">
            <w:drawing>
              <wp:anchor distT="0" distB="0" distL="114300" distR="114300" simplePos="0" relativeHeight="251658240" behindDoc="0" locked="0" layoutInCell="1" allowOverlap="1" wp14:anchorId="37746F41" wp14:editId="5625D617">
                <wp:simplePos x="0" y="0"/>
                <wp:positionH relativeFrom="column">
                  <wp:posOffset>265430</wp:posOffset>
                </wp:positionH>
                <wp:positionV relativeFrom="paragraph">
                  <wp:posOffset>29845</wp:posOffset>
                </wp:positionV>
                <wp:extent cx="4860290" cy="899795"/>
                <wp:effectExtent l="0" t="0" r="0" b="0"/>
                <wp:wrapNone/>
                <wp:docPr id="517527090" name="Rektangel: afrundede hjørne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899795"/>
                        </a:xfrm>
                        <a:prstGeom prst="roundRect">
                          <a:avLst>
                            <a:gd name="adj" fmla="val 16667"/>
                          </a:avLst>
                        </a:prstGeom>
                        <a:solidFill>
                          <a:schemeClr val="bg1">
                            <a:lumMod val="95000"/>
                            <a:lumOff val="0"/>
                          </a:schemeClr>
                        </a:solidFill>
                        <a:ln w="9525">
                          <a:solidFill>
                            <a:srgbClr val="000000"/>
                          </a:solidFill>
                          <a:round/>
                          <a:headEnd type="none" w="sm" len="sm"/>
                          <a:tailEnd type="none" w="sm" len="sm"/>
                        </a:ln>
                      </wps:spPr>
                      <wps:txbx>
                        <w:txbxContent>
                          <w:p w14:paraId="415BC22F" w14:textId="765BE7A3" w:rsidR="00B04AB1" w:rsidRPr="005025E2" w:rsidRDefault="00244987" w:rsidP="00E63E7F">
                            <w:pPr>
                              <w:spacing w:line="279" w:lineRule="auto"/>
                              <w:jc w:val="left"/>
                              <w:textDirection w:val="btLr"/>
                              <w:rPr>
                                <w:i/>
                                <w:iCs/>
                                <w:szCs w:val="21"/>
                              </w:rPr>
                            </w:pPr>
                            <w:r w:rsidRPr="005025E2">
                              <w:rPr>
                                <w:rFonts w:eastAsia="Arial" w:cs="Arial"/>
                                <w:i/>
                                <w:iCs/>
                                <w:color w:val="000000"/>
                                <w:szCs w:val="21"/>
                              </w:rPr>
                              <w:t xml:space="preserve">Selveksekverende software er en forudsætning for teknisk </w:t>
                            </w:r>
                            <w:proofErr w:type="spellStart"/>
                            <w:r w:rsidRPr="005025E2">
                              <w:rPr>
                                <w:rFonts w:eastAsia="Arial" w:cs="Arial"/>
                                <w:i/>
                                <w:iCs/>
                                <w:color w:val="000000"/>
                                <w:szCs w:val="21"/>
                              </w:rPr>
                              <w:t>decentralitet</w:t>
                            </w:r>
                            <w:proofErr w:type="spellEnd"/>
                            <w:r w:rsidRPr="005025E2">
                              <w:rPr>
                                <w:rFonts w:eastAsia="Arial" w:cs="Arial"/>
                                <w:i/>
                                <w:iCs/>
                                <w:color w:val="000000"/>
                                <w:szCs w:val="21"/>
                              </w:rPr>
                              <w:t>.</w:t>
                            </w:r>
                            <w:r>
                              <w:rPr>
                                <w:rFonts w:eastAsia="Arial" w:cs="Arial"/>
                                <w:i/>
                                <w:iCs/>
                                <w:color w:val="000000"/>
                                <w:szCs w:val="21"/>
                              </w:rPr>
                              <w:t xml:space="preserve"> Finanstilsynet vurderer derfor</w:t>
                            </w:r>
                            <w:r w:rsidR="00B04AB1" w:rsidRPr="005025E2">
                              <w:rPr>
                                <w:rFonts w:eastAsia="Arial" w:cs="Arial"/>
                                <w:i/>
                                <w:iCs/>
                                <w:color w:val="000000"/>
                                <w:szCs w:val="21"/>
                              </w:rPr>
                              <w:t xml:space="preserve">, om </w:t>
                            </w:r>
                            <w:r>
                              <w:rPr>
                                <w:rFonts w:eastAsia="Arial" w:cs="Arial"/>
                                <w:i/>
                                <w:iCs/>
                                <w:color w:val="000000"/>
                                <w:szCs w:val="21"/>
                              </w:rPr>
                              <w:t xml:space="preserve">den </w:t>
                            </w:r>
                            <w:r w:rsidR="00B04AB1" w:rsidRPr="005025E2">
                              <w:rPr>
                                <w:rFonts w:eastAsia="Arial" w:cs="Arial"/>
                                <w:i/>
                                <w:iCs/>
                                <w:color w:val="000000"/>
                                <w:szCs w:val="21"/>
                              </w:rPr>
                              <w:t>software</w:t>
                            </w:r>
                            <w:r>
                              <w:rPr>
                                <w:rFonts w:eastAsia="Arial" w:cs="Arial"/>
                                <w:i/>
                                <w:iCs/>
                                <w:color w:val="000000"/>
                                <w:szCs w:val="21"/>
                              </w:rPr>
                              <w:t>, som</w:t>
                            </w:r>
                            <w:r w:rsidR="00B04AB1" w:rsidRPr="005025E2">
                              <w:rPr>
                                <w:rFonts w:eastAsia="Arial" w:cs="Arial"/>
                                <w:i/>
                                <w:iCs/>
                                <w:color w:val="000000"/>
                                <w:szCs w:val="21"/>
                              </w:rPr>
                              <w:t xml:space="preserve"> </w:t>
                            </w:r>
                            <w:r>
                              <w:rPr>
                                <w:rFonts w:eastAsia="Arial" w:cs="Arial"/>
                                <w:i/>
                                <w:iCs/>
                                <w:color w:val="000000"/>
                                <w:szCs w:val="21"/>
                              </w:rPr>
                              <w:t>bruges</w:t>
                            </w:r>
                            <w:r w:rsidRPr="005025E2">
                              <w:rPr>
                                <w:rFonts w:eastAsia="Arial" w:cs="Arial"/>
                                <w:i/>
                                <w:iCs/>
                                <w:color w:val="000000"/>
                                <w:szCs w:val="21"/>
                              </w:rPr>
                              <w:t xml:space="preserve"> </w:t>
                            </w:r>
                            <w:r w:rsidR="00B04AB1" w:rsidRPr="005025E2">
                              <w:rPr>
                                <w:rFonts w:eastAsia="Arial" w:cs="Arial"/>
                                <w:i/>
                                <w:iCs/>
                                <w:color w:val="000000"/>
                                <w:szCs w:val="21"/>
                              </w:rPr>
                              <w:t>i udbuddet af en reguleret aktivitet</w:t>
                            </w:r>
                            <w:r>
                              <w:rPr>
                                <w:rFonts w:eastAsia="Arial" w:cs="Arial"/>
                                <w:i/>
                                <w:iCs/>
                                <w:color w:val="000000"/>
                                <w:szCs w:val="21"/>
                              </w:rPr>
                              <w:t>,</w:t>
                            </w:r>
                            <w:r w:rsidR="00B04AB1" w:rsidRPr="005025E2">
                              <w:rPr>
                                <w:rFonts w:eastAsia="Arial" w:cs="Arial"/>
                                <w:i/>
                                <w:iCs/>
                                <w:color w:val="000000"/>
                                <w:szCs w:val="21"/>
                              </w:rPr>
                              <w:t xml:space="preserve"> </w:t>
                            </w:r>
                            <w:r w:rsidRPr="005025E2">
                              <w:rPr>
                                <w:rFonts w:eastAsia="Arial" w:cs="Arial"/>
                                <w:i/>
                                <w:iCs/>
                                <w:color w:val="000000"/>
                                <w:szCs w:val="21"/>
                              </w:rPr>
                              <w:t xml:space="preserve">selvstændigt kan gennemføre regulerede aktiviteter </w:t>
                            </w:r>
                            <w:r w:rsidR="00B04AB1" w:rsidRPr="005025E2">
                              <w:rPr>
                                <w:rFonts w:eastAsia="Arial" w:cs="Arial"/>
                                <w:i/>
                                <w:iCs/>
                                <w:color w:val="000000"/>
                                <w:szCs w:val="21"/>
                              </w:rPr>
                              <w:t xml:space="preserve">på </w:t>
                            </w:r>
                            <w:r>
                              <w:rPr>
                                <w:rFonts w:eastAsia="Arial" w:cs="Arial"/>
                                <w:i/>
                                <w:iCs/>
                                <w:color w:val="000000"/>
                                <w:szCs w:val="21"/>
                              </w:rPr>
                              <w:t>samme måde</w:t>
                            </w:r>
                            <w:r w:rsidR="00B04AB1" w:rsidRPr="005025E2">
                              <w:rPr>
                                <w:rFonts w:eastAsia="Arial" w:cs="Arial"/>
                                <w:i/>
                                <w:iCs/>
                                <w:color w:val="000000"/>
                                <w:szCs w:val="21"/>
                              </w:rPr>
                              <w:t xml:space="preserve"> som fysiske og juridiske personer.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7746F41" id="Rektangel: afrundede hjørner 9" o:spid="_x0000_s1029" style="position:absolute;left:0;text-align:left;margin-left:20.9pt;margin-top:2.35pt;width:382.7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" fillcolor="#f2f2f2 [3052]">
                <v:stroke startarrowwidth="narrow" startarrowlength="short" endarrowwidth="narrow" endarrowlength="short"/>
                <v:textbox inset="2.53958mm,1.2694mm,2.53958mm,1.2694mm">
                  <w:txbxContent>
                    <w:p w14:paraId="415BC22F" w14:textId="765BE7A3" w:rsidR="00B04AB1" w:rsidRPr="005025E2" w:rsidRDefault="00244987" w:rsidP="00E63E7F">
                      <w:pPr>
                        <w:spacing w:line="279" w:lineRule="auto"/>
                        <w:jc w:val="left"/>
                        <w:textDirection w:val="btLr"/>
                        <w:rPr>
                          <w:i/>
                          <w:iCs/>
                          <w:szCs w:val="21"/>
                        </w:rPr>
                      </w:pPr>
                      <w:r w:rsidRPr="005025E2">
                        <w:rPr>
                          <w:rFonts w:eastAsia="Arial" w:cs="Arial"/>
                          <w:i/>
                          <w:iCs/>
                          <w:color w:val="000000"/>
                          <w:szCs w:val="21"/>
                        </w:rPr>
                        <w:t>Selveksekverende software er en forudsætning for teknisk decentralitet.</w:t>
                      </w:r>
                      <w:r>
                        <w:rPr>
                          <w:rFonts w:eastAsia="Arial" w:cs="Arial"/>
                          <w:i/>
                          <w:iCs/>
                          <w:color w:val="000000"/>
                          <w:szCs w:val="21"/>
                        </w:rPr>
                        <w:t xml:space="preserve"> Finanstilsynet vurderer derfor</w:t>
                      </w:r>
                      <w:r w:rsidR="00B04AB1" w:rsidRPr="005025E2">
                        <w:rPr>
                          <w:rFonts w:eastAsia="Arial" w:cs="Arial"/>
                          <w:i/>
                          <w:iCs/>
                          <w:color w:val="000000"/>
                          <w:szCs w:val="21"/>
                        </w:rPr>
                        <w:t xml:space="preserve">, om </w:t>
                      </w:r>
                      <w:r>
                        <w:rPr>
                          <w:rFonts w:eastAsia="Arial" w:cs="Arial"/>
                          <w:i/>
                          <w:iCs/>
                          <w:color w:val="000000"/>
                          <w:szCs w:val="21"/>
                        </w:rPr>
                        <w:t xml:space="preserve">den </w:t>
                      </w:r>
                      <w:r w:rsidR="00B04AB1" w:rsidRPr="005025E2">
                        <w:rPr>
                          <w:rFonts w:eastAsia="Arial" w:cs="Arial"/>
                          <w:i/>
                          <w:iCs/>
                          <w:color w:val="000000"/>
                          <w:szCs w:val="21"/>
                        </w:rPr>
                        <w:t>software</w:t>
                      </w:r>
                      <w:r>
                        <w:rPr>
                          <w:rFonts w:eastAsia="Arial" w:cs="Arial"/>
                          <w:i/>
                          <w:iCs/>
                          <w:color w:val="000000"/>
                          <w:szCs w:val="21"/>
                        </w:rPr>
                        <w:t>, som</w:t>
                      </w:r>
                      <w:r w:rsidR="00B04AB1" w:rsidRPr="005025E2">
                        <w:rPr>
                          <w:rFonts w:eastAsia="Arial" w:cs="Arial"/>
                          <w:i/>
                          <w:iCs/>
                          <w:color w:val="000000"/>
                          <w:szCs w:val="21"/>
                        </w:rPr>
                        <w:t xml:space="preserve"> </w:t>
                      </w:r>
                      <w:r>
                        <w:rPr>
                          <w:rFonts w:eastAsia="Arial" w:cs="Arial"/>
                          <w:i/>
                          <w:iCs/>
                          <w:color w:val="000000"/>
                          <w:szCs w:val="21"/>
                        </w:rPr>
                        <w:t>bruges</w:t>
                      </w:r>
                      <w:r w:rsidRPr="005025E2">
                        <w:rPr>
                          <w:rFonts w:eastAsia="Arial" w:cs="Arial"/>
                          <w:i/>
                          <w:iCs/>
                          <w:color w:val="000000"/>
                          <w:szCs w:val="21"/>
                        </w:rPr>
                        <w:t xml:space="preserve"> </w:t>
                      </w:r>
                      <w:r w:rsidR="00B04AB1" w:rsidRPr="005025E2">
                        <w:rPr>
                          <w:rFonts w:eastAsia="Arial" w:cs="Arial"/>
                          <w:i/>
                          <w:iCs/>
                          <w:color w:val="000000"/>
                          <w:szCs w:val="21"/>
                        </w:rPr>
                        <w:t>i udbuddet af en reguleret aktivitet</w:t>
                      </w:r>
                      <w:r>
                        <w:rPr>
                          <w:rFonts w:eastAsia="Arial" w:cs="Arial"/>
                          <w:i/>
                          <w:iCs/>
                          <w:color w:val="000000"/>
                          <w:szCs w:val="21"/>
                        </w:rPr>
                        <w:t>,</w:t>
                      </w:r>
                      <w:r w:rsidR="00B04AB1" w:rsidRPr="005025E2">
                        <w:rPr>
                          <w:rFonts w:eastAsia="Arial" w:cs="Arial"/>
                          <w:i/>
                          <w:iCs/>
                          <w:color w:val="000000"/>
                          <w:szCs w:val="21"/>
                        </w:rPr>
                        <w:t xml:space="preserve"> </w:t>
                      </w:r>
                      <w:r w:rsidRPr="005025E2">
                        <w:rPr>
                          <w:rFonts w:eastAsia="Arial" w:cs="Arial"/>
                          <w:i/>
                          <w:iCs/>
                          <w:color w:val="000000"/>
                          <w:szCs w:val="21"/>
                        </w:rPr>
                        <w:t xml:space="preserve">selvstændigt kan gennemføre regulerede aktiviteter </w:t>
                      </w:r>
                      <w:r w:rsidR="00B04AB1" w:rsidRPr="005025E2">
                        <w:rPr>
                          <w:rFonts w:eastAsia="Arial" w:cs="Arial"/>
                          <w:i/>
                          <w:iCs/>
                          <w:color w:val="000000"/>
                          <w:szCs w:val="21"/>
                        </w:rPr>
                        <w:t xml:space="preserve">på </w:t>
                      </w:r>
                      <w:r>
                        <w:rPr>
                          <w:rFonts w:eastAsia="Arial" w:cs="Arial"/>
                          <w:i/>
                          <w:iCs/>
                          <w:color w:val="000000"/>
                          <w:szCs w:val="21"/>
                        </w:rPr>
                        <w:t>samme måde</w:t>
                      </w:r>
                      <w:r w:rsidR="00B04AB1" w:rsidRPr="005025E2">
                        <w:rPr>
                          <w:rFonts w:eastAsia="Arial" w:cs="Arial"/>
                          <w:i/>
                          <w:iCs/>
                          <w:color w:val="000000"/>
                          <w:szCs w:val="21"/>
                        </w:rPr>
                        <w:t xml:space="preserve"> som fysiske og juridiske personer. </w:t>
                      </w:r>
                    </w:p>
                  </w:txbxContent>
                </v:textbox>
              </v:roundrect>
            </w:pict>
          </mc:Fallback>
        </mc:AlternateContent>
      </w:r>
    </w:p>
    <w:p w14:paraId="16F931B2" w14:textId="6D35B697" w:rsidR="00BF6F2F" w:rsidRDefault="00BF6F2F" w:rsidP="00B04AB1"/>
    <w:p w14:paraId="66D59D50" w14:textId="77777777" w:rsidR="00BF6F2F" w:rsidRDefault="00BF6F2F" w:rsidP="00B04AB1"/>
    <w:p w14:paraId="39246C62" w14:textId="77777777" w:rsidR="00BF6F2F" w:rsidRDefault="00BF6F2F" w:rsidP="00B04AB1"/>
    <w:p w14:paraId="351A0C2D" w14:textId="77777777" w:rsidR="00BF6F2F" w:rsidRDefault="00BF6F2F" w:rsidP="00B04AB1"/>
    <w:p w14:paraId="204539BE" w14:textId="77777777" w:rsidR="00AD7C68" w:rsidRDefault="00AD7C68" w:rsidP="00B04AB1"/>
    <w:p w14:paraId="302AB97E" w14:textId="262AF6AD" w:rsidR="00B04AB1" w:rsidRDefault="00B50941" w:rsidP="00B04AB1">
      <w:r>
        <w:t>Den handling</w:t>
      </w:r>
      <w:r w:rsidR="001E1ED8">
        <w:t>,</w:t>
      </w:r>
      <w:r>
        <w:t xml:space="preserve"> e</w:t>
      </w:r>
      <w:r w:rsidR="00B04AB1">
        <w:t>n bruger</w:t>
      </w:r>
      <w:r>
        <w:t xml:space="preserve"> foretager ved at interagere med </w:t>
      </w:r>
      <w:r w:rsidR="00B04AB1">
        <w:t>smartkontrakter</w:t>
      </w:r>
      <w:r w:rsidR="001E1ED8">
        <w:t>,</w:t>
      </w:r>
      <w:r w:rsidR="00B04AB1">
        <w:t xml:space="preserve"> kan sammenlignes med </w:t>
      </w:r>
      <w:r w:rsidR="008D5076">
        <w:t xml:space="preserve">den måde, </w:t>
      </w:r>
      <w:r w:rsidR="00B04AB1">
        <w:t>en kunde brug</w:t>
      </w:r>
      <w:r w:rsidR="008D5076">
        <w:t xml:space="preserve">er </w:t>
      </w:r>
      <w:r w:rsidR="00B04AB1">
        <w:t xml:space="preserve">en finansiel virksomhed </w:t>
      </w:r>
      <w:r w:rsidR="008D5076">
        <w:t xml:space="preserve">på, når kunden modtager </w:t>
      </w:r>
      <w:r w:rsidR="00B04AB1">
        <w:t xml:space="preserve">en tjeneste. Men </w:t>
      </w:r>
      <w:r w:rsidR="008D5076">
        <w:t xml:space="preserve">en </w:t>
      </w:r>
      <w:r w:rsidR="00B04AB1">
        <w:t xml:space="preserve">selveksekverende smartkontrakt </w:t>
      </w:r>
      <w:r w:rsidR="00B52CE5">
        <w:t xml:space="preserve">kan </w:t>
      </w:r>
      <w:r w:rsidR="00B04AB1">
        <w:t xml:space="preserve">ikke selvstændigt </w:t>
      </w:r>
      <w:r w:rsidR="00F45A4D">
        <w:t xml:space="preserve">udgøre </w:t>
      </w:r>
      <w:r w:rsidR="008D5076">
        <w:t xml:space="preserve">et </w:t>
      </w:r>
      <w:proofErr w:type="spellStart"/>
      <w:r w:rsidR="00B04AB1">
        <w:t>retssubjekt</w:t>
      </w:r>
      <w:proofErr w:type="spellEnd"/>
      <w:r w:rsidR="00F45A4D">
        <w:t xml:space="preserve"> for en aftale</w:t>
      </w:r>
      <w:r w:rsidR="00B04AB1">
        <w:t xml:space="preserve">, </w:t>
      </w:r>
      <w:r w:rsidR="008D5076">
        <w:t xml:space="preserve">fordi </w:t>
      </w:r>
      <w:r w:rsidR="00B04AB1">
        <w:t>de</w:t>
      </w:r>
      <w:r w:rsidR="00A14126">
        <w:t>n</w:t>
      </w:r>
      <w:r w:rsidR="00B04AB1">
        <w:t xml:space="preserve"> </w:t>
      </w:r>
      <w:r w:rsidR="00F45A4D">
        <w:t xml:space="preserve">ikke kan afgive bindende </w:t>
      </w:r>
      <w:r w:rsidR="00912982">
        <w:t>viljeserklæring</w:t>
      </w:r>
      <w:r w:rsidR="00F45A4D">
        <w:t xml:space="preserve">er. </w:t>
      </w:r>
    </w:p>
    <w:p w14:paraId="721ADD94" w14:textId="77777777" w:rsidR="00B04AB1" w:rsidRDefault="00B04AB1" w:rsidP="00B04AB1"/>
    <w:p w14:paraId="0BB3698F" w14:textId="7F2E5D70" w:rsidR="00B04AB1" w:rsidRDefault="00B04AB1" w:rsidP="00B04AB1">
      <w:r>
        <w:t>DLT-systemer kan også etableres med andre former for smartkontraktligende funktionalitet. Finanstilsynet blev f.eks. præsenteret for konceptet</w:t>
      </w:r>
      <w:r>
        <w:rPr>
          <w:i/>
          <w:iCs/>
        </w:rPr>
        <w:t xml:space="preserve"> </w:t>
      </w:r>
      <w:r w:rsidRPr="00645438">
        <w:t>Smart Financial Instruments (SFI)</w:t>
      </w:r>
      <w:r w:rsidR="00C64DC7">
        <w:t xml:space="preserve"> i </w:t>
      </w:r>
      <w:r>
        <w:t xml:space="preserve">et forløb </w:t>
      </w:r>
      <w:r w:rsidR="00C64DC7">
        <w:t xml:space="preserve">i Finanstilsynets regulatoriske sandkasse, </w:t>
      </w:r>
      <w:r>
        <w:t xml:space="preserve">FT Lab. </w:t>
      </w:r>
      <w:r w:rsidR="00964EBA">
        <w:t xml:space="preserve">Et </w:t>
      </w:r>
      <w:r>
        <w:t xml:space="preserve">SFI </w:t>
      </w:r>
      <w:r w:rsidR="00964EBA">
        <w:t>er en digital repræsentation af et aktiv, der også er programmeret med funktionalitet, der specificerer</w:t>
      </w:r>
      <w:r w:rsidR="006C4A53">
        <w:t>,</w:t>
      </w:r>
      <w:r w:rsidR="00964EBA">
        <w:t xml:space="preserve"> </w:t>
      </w:r>
      <w:r>
        <w:t xml:space="preserve">hvordan en række handlinger </w:t>
      </w:r>
      <w:r w:rsidR="00964EBA">
        <w:t xml:space="preserve">forbundet med aktivets rettigheder </w:t>
      </w:r>
      <w:r>
        <w:t xml:space="preserve">skal gennemføres. Det </w:t>
      </w:r>
      <w:r w:rsidR="00462C7D">
        <w:t xml:space="preserve">kan </w:t>
      </w:r>
      <w:r w:rsidR="008D5076">
        <w:t xml:space="preserve">f.eks. </w:t>
      </w:r>
      <w:r>
        <w:t xml:space="preserve">være betingelser for overførsler af aktivets økonomiske rettigheder. </w:t>
      </w:r>
      <w:r w:rsidR="00964EBA">
        <w:t xml:space="preserve">Et </w:t>
      </w:r>
      <w:r>
        <w:t xml:space="preserve">SFI </w:t>
      </w:r>
      <w:r w:rsidR="00964EBA">
        <w:t>kan</w:t>
      </w:r>
      <w:r w:rsidR="006C4A53">
        <w:t>,</w:t>
      </w:r>
      <w:r w:rsidR="00964EBA">
        <w:t xml:space="preserve"> modsat </w:t>
      </w:r>
      <w:proofErr w:type="spellStart"/>
      <w:r w:rsidR="00964EBA">
        <w:t>Ethereums</w:t>
      </w:r>
      <w:proofErr w:type="spellEnd"/>
      <w:r w:rsidR="00964EBA">
        <w:t xml:space="preserve"> smartkontrakter</w:t>
      </w:r>
      <w:r w:rsidR="006C4A53">
        <w:t>,</w:t>
      </w:r>
      <w:r w:rsidR="00964EBA">
        <w:t xml:space="preserve"> ikke selvstændigt eksekvere handlingerne. De kan udelukkende gennemføres gennem anden funktionalitet i </w:t>
      </w:r>
      <w:r w:rsidR="008A5B66">
        <w:t xml:space="preserve">det </w:t>
      </w:r>
      <w:r>
        <w:t>DLT-system</w:t>
      </w:r>
      <w:r w:rsidR="00964EBA">
        <w:t xml:space="preserve">, som </w:t>
      </w:r>
      <w:proofErr w:type="spellStart"/>
      <w:r w:rsidR="00964EBA">
        <w:t>SFI’et</w:t>
      </w:r>
      <w:proofErr w:type="spellEnd"/>
      <w:r w:rsidR="008A5B66">
        <w:t xml:space="preserve"> </w:t>
      </w:r>
      <w:r w:rsidR="00964EBA">
        <w:t xml:space="preserve">er </w:t>
      </w:r>
      <w:r>
        <w:t>udsted</w:t>
      </w:r>
      <w:r w:rsidR="00964EBA">
        <w:t xml:space="preserve">t </w:t>
      </w:r>
      <w:r w:rsidR="00B50941">
        <w:t>i</w:t>
      </w:r>
      <w:r w:rsidR="00964EBA">
        <w:t xml:space="preserve">. </w:t>
      </w:r>
      <w:r w:rsidR="006C4A53">
        <w:t>Det kan f</w:t>
      </w:r>
      <w:r>
        <w:t xml:space="preserve">.eks. </w:t>
      </w:r>
      <w:r w:rsidR="006C4A53">
        <w:lastRenderedPageBreak/>
        <w:t xml:space="preserve">ske </w:t>
      </w:r>
      <w:r w:rsidR="00964EBA">
        <w:t>ved</w:t>
      </w:r>
      <w:r w:rsidR="006C4A53">
        <w:t>,</w:t>
      </w:r>
      <w:r w:rsidR="00964EBA">
        <w:t xml:space="preserve"> at</w:t>
      </w:r>
      <w:r>
        <w:t xml:space="preserve"> en fysisk person </w:t>
      </w:r>
      <w:r w:rsidR="00964EBA">
        <w:t xml:space="preserve">aktivt </w:t>
      </w:r>
      <w:r>
        <w:t xml:space="preserve">godkender </w:t>
      </w:r>
      <w:r w:rsidR="00964EBA">
        <w:t xml:space="preserve">og iværksætter </w:t>
      </w:r>
      <w:r>
        <w:t>overførsler af de iboende økonomiske rettigheder</w:t>
      </w:r>
      <w:r w:rsidR="00964EBA">
        <w:t>, hvorefter overførslen gennemføres i systemet</w:t>
      </w:r>
      <w:r>
        <w:t>.</w:t>
      </w:r>
      <w:r w:rsidR="00964EBA">
        <w:t xml:space="preserve"> </w:t>
      </w:r>
    </w:p>
    <w:p w14:paraId="7CE550E9" w14:textId="77777777" w:rsidR="00B04AB1" w:rsidRDefault="00B04AB1" w:rsidP="00B04AB1"/>
    <w:p w14:paraId="045E032B" w14:textId="42C08B69" w:rsidR="00B04AB1" w:rsidRDefault="00B04AB1" w:rsidP="00B04AB1">
      <w:r>
        <w:t xml:space="preserve">Finanstilsynet </w:t>
      </w:r>
      <w:r w:rsidR="00E34D3A">
        <w:t>blev også</w:t>
      </w:r>
      <w:r>
        <w:t xml:space="preserve"> introduceret for </w:t>
      </w:r>
      <w:proofErr w:type="spellStart"/>
      <w:r>
        <w:t>Algorands</w:t>
      </w:r>
      <w:proofErr w:type="spellEnd"/>
      <w:r>
        <w:t xml:space="preserve"> </w:t>
      </w:r>
      <w:proofErr w:type="spellStart"/>
      <w:r w:rsidRPr="00645438">
        <w:t>Stateless</w:t>
      </w:r>
      <w:proofErr w:type="spellEnd"/>
      <w:r w:rsidRPr="00645438">
        <w:t xml:space="preserve"> Smart </w:t>
      </w:r>
      <w:proofErr w:type="spellStart"/>
      <w:r w:rsidRPr="00645438">
        <w:t>Contract</w:t>
      </w:r>
      <w:proofErr w:type="spellEnd"/>
      <w:r w:rsidRPr="00645438">
        <w:t xml:space="preserve"> Technology (SSCT)</w:t>
      </w:r>
      <w:r w:rsidRPr="00E34D3A">
        <w:rPr>
          <w:rStyle w:val="Fodnotehenvisning"/>
        </w:rPr>
        <w:t xml:space="preserve"> </w:t>
      </w:r>
      <w:r w:rsidRPr="00E34D3A">
        <w:t>i</w:t>
      </w:r>
      <w:r>
        <w:t xml:space="preserve"> et FT Lab</w:t>
      </w:r>
      <w:r w:rsidR="00E34D3A">
        <w:t>-</w:t>
      </w:r>
      <w:r>
        <w:t xml:space="preserve">forløb. Denne variation af smartkontrakt-konceptet tillader bl.a., at personer kan delegere adgangen til at udføre aktiviteter med aktiver tilknyttet deres konti på blockchainen ved at udstede såkaldte </w:t>
      </w:r>
      <w:proofErr w:type="spellStart"/>
      <w:r w:rsidRPr="00645438">
        <w:t>delegated</w:t>
      </w:r>
      <w:proofErr w:type="spellEnd"/>
      <w:r w:rsidRPr="00645438">
        <w:t xml:space="preserve"> </w:t>
      </w:r>
      <w:proofErr w:type="spellStart"/>
      <w:r w:rsidRPr="00645438">
        <w:t>keys</w:t>
      </w:r>
      <w:proofErr w:type="spellEnd"/>
      <w:r w:rsidR="00905DD1">
        <w:t xml:space="preserve"> </w:t>
      </w:r>
      <w:r>
        <w:t>(delegerede nøgler). Kort fortalt signere</w:t>
      </w:r>
      <w:r w:rsidR="00964EBA">
        <w:t>r en person</w:t>
      </w:r>
      <w:r>
        <w:t xml:space="preserve"> en delegeret nøgl</w:t>
      </w:r>
      <w:r w:rsidR="00964EBA">
        <w:t>e, som f.eks. indeholder en eller flere transaktioner personen ønsker udført, med personens private nøgle</w:t>
      </w:r>
      <w:r>
        <w:t>. Råderetten over den delegerede nøgle kan derefter overdrages til en anden aktør</w:t>
      </w:r>
      <w:r w:rsidR="00964EBA">
        <w:t>, der lagre</w:t>
      </w:r>
      <w:r w:rsidR="00BF6F2F">
        <w:t xml:space="preserve">r nøglen </w:t>
      </w:r>
      <w:r w:rsidR="00964EBA">
        <w:t xml:space="preserve">lokalt </w:t>
      </w:r>
      <w:r w:rsidR="006C4A53">
        <w:t xml:space="preserve">– </w:t>
      </w:r>
      <w:r w:rsidR="00964EBA">
        <w:t xml:space="preserve">og ikke på blockchainen. </w:t>
      </w:r>
      <w:r w:rsidR="006C4A53">
        <w:t>Dermed opnår d</w:t>
      </w:r>
      <w:r w:rsidR="00964EBA">
        <w:t xml:space="preserve">enne aktør retten til </w:t>
      </w:r>
      <w:r>
        <w:t xml:space="preserve">efterfølgende </w:t>
      </w:r>
      <w:r w:rsidR="00964EBA">
        <w:t xml:space="preserve">at </w:t>
      </w:r>
      <w:r>
        <w:t xml:space="preserve">initiere de signerede transaktioner på </w:t>
      </w:r>
      <w:proofErr w:type="spellStart"/>
      <w:r>
        <w:t>Algorands</w:t>
      </w:r>
      <w:proofErr w:type="spellEnd"/>
      <w:r>
        <w:t xml:space="preserve"> blockchain. </w:t>
      </w:r>
    </w:p>
    <w:p w14:paraId="25AC3A4D" w14:textId="77777777" w:rsidR="00B04AB1" w:rsidRDefault="00B04AB1" w:rsidP="00B04AB1"/>
    <w:p w14:paraId="4FFA8EA8" w14:textId="1A584244" w:rsidR="00106C50" w:rsidRDefault="00964EBA" w:rsidP="00B04AB1">
      <w:r>
        <w:t>For begge eksempler gælder, at denne type smartkontraktlignende funktionalitet ikke kan siges at udføre aktiviteter</w:t>
      </w:r>
      <w:r w:rsidRPr="0002652D">
        <w:t xml:space="preserve"> </w:t>
      </w:r>
      <w:r>
        <w:t xml:space="preserve">selvstændigt. </w:t>
      </w:r>
      <w:r w:rsidR="00BF6F2F">
        <w:t xml:space="preserve">I </w:t>
      </w:r>
      <w:r w:rsidR="006C4A53">
        <w:t>sin</w:t>
      </w:r>
      <w:r w:rsidR="00106C50">
        <w:t xml:space="preserve"> </w:t>
      </w:r>
      <w:r w:rsidR="00B04AB1">
        <w:t xml:space="preserve">vurdering af, om en reguleret aktivitet er udbudt teknisk decentralt, </w:t>
      </w:r>
      <w:r w:rsidR="00BF6F2F">
        <w:t>sondre</w:t>
      </w:r>
      <w:r w:rsidR="006C4A53">
        <w:t>r Finanstilsynet</w:t>
      </w:r>
      <w:r w:rsidR="00BF6F2F">
        <w:t xml:space="preserve"> </w:t>
      </w:r>
      <w:r w:rsidR="00AD7C68">
        <w:t xml:space="preserve">altså </w:t>
      </w:r>
      <w:r w:rsidR="00B04AB1">
        <w:t>mellem</w:t>
      </w:r>
      <w:r w:rsidR="00106C50">
        <w:t xml:space="preserve"> aktiviteter, der:</w:t>
      </w:r>
    </w:p>
    <w:p w14:paraId="2D9587BD" w14:textId="77777777" w:rsidR="00964EBA" w:rsidRDefault="00964EBA" w:rsidP="00B04AB1"/>
    <w:p w14:paraId="61D00594" w14:textId="4F319925" w:rsidR="00106C50" w:rsidRDefault="00B04AB1" w:rsidP="00964EBA">
      <w:pPr>
        <w:pStyle w:val="Listeafsnit"/>
        <w:numPr>
          <w:ilvl w:val="0"/>
          <w:numId w:val="39"/>
        </w:numPr>
      </w:pPr>
      <w:r>
        <w:t>udbydes gennem selveksekverende smartkontrakter</w:t>
      </w:r>
    </w:p>
    <w:p w14:paraId="44CBD1F0" w14:textId="394DC067" w:rsidR="00106C50" w:rsidRDefault="00B04AB1" w:rsidP="00964EBA">
      <w:pPr>
        <w:pStyle w:val="Listeafsnit"/>
        <w:numPr>
          <w:ilvl w:val="0"/>
          <w:numId w:val="39"/>
        </w:numPr>
      </w:pPr>
      <w:r>
        <w:t xml:space="preserve">anvender software med lignende funktionalitet, men ikke er selveksekverende. </w:t>
      </w:r>
    </w:p>
    <w:p w14:paraId="79C09506" w14:textId="49D0BE62" w:rsidR="00106C50" w:rsidRDefault="00106C50" w:rsidP="00B04AB1"/>
    <w:p w14:paraId="5B455FDB" w14:textId="6FB102EC" w:rsidR="00B04AB1" w:rsidRDefault="00B04AB1" w:rsidP="00B04AB1">
      <w:r>
        <w:t>Det forhold</w:t>
      </w:r>
      <w:r w:rsidR="001E1ED8">
        <w:t>,</w:t>
      </w:r>
      <w:r>
        <w:t xml:space="preserve"> at softwaren er selveksekverende</w:t>
      </w:r>
      <w:r w:rsidR="001E1ED8">
        <w:t>,</w:t>
      </w:r>
      <w:r>
        <w:t xml:space="preserve"> er en forudsætning for, at en reguleret aktivitet kan klassificeres som teknisk decentral. </w:t>
      </w:r>
    </w:p>
    <w:p w14:paraId="7DD6EB00" w14:textId="77777777" w:rsidR="00BF6F2F" w:rsidRDefault="00BF6F2F" w:rsidP="00B04AB1"/>
    <w:p w14:paraId="28C399D1" w14:textId="1D0170E2" w:rsidR="00BF6F2F" w:rsidRDefault="00BF6F2F" w:rsidP="00BF6F2F">
      <w:pPr>
        <w:pStyle w:val="Overskrift3"/>
        <w:rPr>
          <w:rFonts w:eastAsia="Arial"/>
        </w:rPr>
      </w:pPr>
      <w:r>
        <w:rPr>
          <w:rFonts w:eastAsia="Arial"/>
        </w:rPr>
        <w:t xml:space="preserve">5.2.1.2. </w:t>
      </w:r>
      <w:proofErr w:type="spellStart"/>
      <w:r w:rsidRPr="00953B14">
        <w:rPr>
          <w:rFonts w:eastAsia="Arial"/>
        </w:rPr>
        <w:t>Autonomitet</w:t>
      </w:r>
      <w:proofErr w:type="spellEnd"/>
      <w:r w:rsidRPr="00953B14">
        <w:rPr>
          <w:rFonts w:eastAsia="Arial"/>
        </w:rPr>
        <w:t xml:space="preserve"> af smartkontrakter</w:t>
      </w:r>
    </w:p>
    <w:p w14:paraId="5391166B" w14:textId="0EA86112" w:rsidR="00BF6F2F" w:rsidRPr="00BF6F2F" w:rsidRDefault="00BF6F2F" w:rsidP="00BF6F2F">
      <w:r>
        <w:t>Finanstilsynet anser ikke per definition et udbud af regulerede aktiviteter ved brug af selveksekverende smartkontrakter for at være teknisk decentralt. Selvom udstederen som udgangspunkt hverken kan ændre eller slette smartkontrakten eller dens programmering, efter at de</w:t>
      </w:r>
      <w:r w:rsidR="00E450CC">
        <w:t>n</w:t>
      </w:r>
      <w:r>
        <w:t xml:space="preserve"> er gjort tilgængelig på en konventionel blockchain, kan smartkontrakte</w:t>
      </w:r>
      <w:r w:rsidR="00E450CC">
        <w:t>n</w:t>
      </w:r>
      <w:r>
        <w:t xml:space="preserve"> programmeres med redigeringsadgange i forhold til de input, som kontrakten bruger i udførelsen af de</w:t>
      </w:r>
      <w:r w:rsidR="00D62687">
        <w:t xml:space="preserve"> programmerede handlinger</w:t>
      </w:r>
      <w:r>
        <w:t xml:space="preserve">. </w:t>
      </w:r>
    </w:p>
    <w:p w14:paraId="06F16B3A" w14:textId="1099812E" w:rsidR="00B04AB1" w:rsidRDefault="00F71F99" w:rsidP="00B04AB1">
      <w:r>
        <w:rPr>
          <w:noProof/>
        </w:rPr>
        <mc:AlternateContent>
          <mc:Choice Requires="wps">
            <w:drawing>
              <wp:anchor distT="0" distB="0" distL="114300" distR="114300" simplePos="0" relativeHeight="251659264" behindDoc="0" locked="0" layoutInCell="1" allowOverlap="1" wp14:anchorId="248E5845" wp14:editId="4300CBDC">
                <wp:simplePos x="0" y="0"/>
                <wp:positionH relativeFrom="margin">
                  <wp:posOffset>275590</wp:posOffset>
                </wp:positionH>
                <wp:positionV relativeFrom="paragraph">
                  <wp:posOffset>177800</wp:posOffset>
                </wp:positionV>
                <wp:extent cx="4860290" cy="720090"/>
                <wp:effectExtent l="0" t="0" r="0" b="3810"/>
                <wp:wrapNone/>
                <wp:docPr id="400107070" name="Rektangel: afrundede hjørner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720090"/>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3095BF0E" w14:textId="05B21762" w:rsidR="00B04AB1" w:rsidRPr="00645438" w:rsidRDefault="00106C50" w:rsidP="00D15CCE">
                            <w:pPr>
                              <w:spacing w:line="279" w:lineRule="auto"/>
                              <w:textDirection w:val="btLr"/>
                              <w:rPr>
                                <w:i/>
                                <w:iCs/>
                                <w:szCs w:val="21"/>
                              </w:rPr>
                            </w:pPr>
                            <w:r>
                              <w:rPr>
                                <w:rFonts w:eastAsia="Arial" w:cs="Arial"/>
                                <w:i/>
                                <w:iCs/>
                                <w:color w:val="000000"/>
                                <w:szCs w:val="21"/>
                              </w:rPr>
                              <w:t>Finanstilsynet vurderer</w:t>
                            </w:r>
                            <w:r w:rsidR="00E565DB">
                              <w:rPr>
                                <w:rFonts w:eastAsia="Arial" w:cs="Arial"/>
                                <w:i/>
                                <w:iCs/>
                                <w:color w:val="000000"/>
                                <w:szCs w:val="21"/>
                              </w:rPr>
                              <w:t xml:space="preserve"> autonomiteten i</w:t>
                            </w:r>
                            <w:r w:rsidR="00B04AB1" w:rsidRPr="00953B14">
                              <w:rPr>
                                <w:rFonts w:eastAsia="Arial" w:cs="Arial"/>
                                <w:i/>
                                <w:iCs/>
                                <w:color w:val="000000"/>
                                <w:szCs w:val="21"/>
                              </w:rPr>
                              <w:t xml:space="preserve"> smartkontrakter, der </w:t>
                            </w:r>
                            <w:r>
                              <w:rPr>
                                <w:rFonts w:eastAsia="Arial" w:cs="Arial"/>
                                <w:i/>
                                <w:iCs/>
                                <w:color w:val="000000"/>
                                <w:szCs w:val="21"/>
                              </w:rPr>
                              <w:t>brug</w:t>
                            </w:r>
                            <w:r w:rsidR="00B04AB1" w:rsidRPr="00953B14">
                              <w:rPr>
                                <w:rFonts w:eastAsia="Arial" w:cs="Arial"/>
                                <w:i/>
                                <w:iCs/>
                                <w:color w:val="000000"/>
                                <w:szCs w:val="21"/>
                              </w:rPr>
                              <w:t>es i udbuddet af en reguleret aktivitet</w:t>
                            </w:r>
                            <w:r w:rsidR="00E565DB">
                              <w:rPr>
                                <w:rFonts w:eastAsia="Arial" w:cs="Arial"/>
                                <w:i/>
                                <w:iCs/>
                                <w:color w:val="000000"/>
                                <w:szCs w:val="21"/>
                              </w:rPr>
                              <w:t xml:space="preserve">. </w:t>
                            </w:r>
                            <w:r w:rsidR="00B04AB1" w:rsidRPr="00645438">
                              <w:rPr>
                                <w:rFonts w:eastAsia="Arial" w:cs="Arial"/>
                                <w:i/>
                                <w:iCs/>
                                <w:color w:val="000000"/>
                                <w:szCs w:val="21"/>
                              </w:rPr>
                              <w:t xml:space="preserve">Graden af </w:t>
                            </w:r>
                            <w:proofErr w:type="spellStart"/>
                            <w:r w:rsidR="00B04AB1" w:rsidRPr="00645438">
                              <w:rPr>
                                <w:rFonts w:eastAsia="Arial" w:cs="Arial"/>
                                <w:i/>
                                <w:iCs/>
                                <w:color w:val="000000"/>
                                <w:szCs w:val="21"/>
                              </w:rPr>
                              <w:t>decentralitet</w:t>
                            </w:r>
                            <w:proofErr w:type="spellEnd"/>
                            <w:r w:rsidR="00B04AB1" w:rsidRPr="00645438">
                              <w:rPr>
                                <w:rFonts w:eastAsia="Arial" w:cs="Arial"/>
                                <w:i/>
                                <w:iCs/>
                                <w:color w:val="000000"/>
                                <w:szCs w:val="21"/>
                              </w:rPr>
                              <w:t xml:space="preserve"> vil alt andet lige falde i takt med</w:t>
                            </w:r>
                            <w:r w:rsidR="001E1ED8" w:rsidRPr="00645438">
                              <w:rPr>
                                <w:rFonts w:eastAsia="Arial" w:cs="Arial"/>
                                <w:i/>
                                <w:iCs/>
                                <w:color w:val="000000"/>
                                <w:szCs w:val="21"/>
                              </w:rPr>
                              <w:t>,</w:t>
                            </w:r>
                            <w:r w:rsidR="00B04AB1" w:rsidRPr="00645438">
                              <w:rPr>
                                <w:rFonts w:eastAsia="Arial" w:cs="Arial"/>
                                <w:i/>
                                <w:iCs/>
                                <w:color w:val="000000"/>
                                <w:szCs w:val="21"/>
                              </w:rPr>
                              <w:t xml:space="preserve"> at </w:t>
                            </w:r>
                            <w:r w:rsidR="00B50941" w:rsidRPr="00645438">
                              <w:rPr>
                                <w:rFonts w:eastAsia="Arial" w:cs="Arial"/>
                                <w:i/>
                                <w:iCs/>
                                <w:color w:val="000000"/>
                                <w:szCs w:val="21"/>
                              </w:rPr>
                              <w:t xml:space="preserve">disponeringsgraden </w:t>
                            </w:r>
                            <w:r w:rsidR="00B04AB1" w:rsidRPr="00645438">
                              <w:rPr>
                                <w:rFonts w:eastAsia="Arial" w:cs="Arial"/>
                                <w:i/>
                                <w:iCs/>
                                <w:color w:val="000000"/>
                                <w:szCs w:val="21"/>
                              </w:rPr>
                              <w:t xml:space="preserve">over smartkontrakten stiger. </w:t>
                            </w:r>
                          </w:p>
                          <w:p w14:paraId="7BCF4596" w14:textId="77777777" w:rsidR="00B04AB1" w:rsidRPr="00953B14" w:rsidRDefault="00B04AB1" w:rsidP="00B04AB1">
                            <w:pPr>
                              <w:spacing w:line="279" w:lineRule="auto"/>
                              <w:textDirection w:val="btLr"/>
                              <w:rPr>
                                <w:i/>
                                <w:iCs/>
                                <w:szCs w:val="21"/>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48E5845" id="Rektangel: afrundede hjørner 8" o:spid="_x0000_s1030" style="position:absolute;left:0;text-align:left;margin-left:21.7pt;margin-top:14pt;width:382.7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" fillcolor="#f2f2f2">
                <v:stroke startarrowwidth="narrow" startarrowlength="short" endarrowwidth="narrow" endarrowlength="short"/>
                <v:textbox inset="2.53958mm,1.2694mm,2.53958mm,1.2694mm">
                  <w:txbxContent>
                    <w:p w14:paraId="3095BF0E" w14:textId="05B21762" w:rsidR="00B04AB1" w:rsidRPr="00645438" w:rsidRDefault="00106C50" w:rsidP="00D15CCE">
                      <w:pPr>
                        <w:spacing w:line="279" w:lineRule="auto"/>
                        <w:textDirection w:val="btLr"/>
                        <w:rPr>
                          <w:i/>
                          <w:iCs/>
                          <w:szCs w:val="21"/>
                        </w:rPr>
                      </w:pPr>
                      <w:r>
                        <w:rPr>
                          <w:rFonts w:eastAsia="Arial" w:cs="Arial"/>
                          <w:i/>
                          <w:iCs/>
                          <w:color w:val="000000"/>
                          <w:szCs w:val="21"/>
                        </w:rPr>
                        <w:t>Finanstilsynet vurderer</w:t>
                      </w:r>
                      <w:r w:rsidR="00E565DB">
                        <w:rPr>
                          <w:rFonts w:eastAsia="Arial" w:cs="Arial"/>
                          <w:i/>
                          <w:iCs/>
                          <w:color w:val="000000"/>
                          <w:szCs w:val="21"/>
                        </w:rPr>
                        <w:t xml:space="preserve"> autonomiteten i</w:t>
                      </w:r>
                      <w:r w:rsidR="00B04AB1" w:rsidRPr="00953B14">
                        <w:rPr>
                          <w:rFonts w:eastAsia="Arial" w:cs="Arial"/>
                          <w:i/>
                          <w:iCs/>
                          <w:color w:val="000000"/>
                          <w:szCs w:val="21"/>
                        </w:rPr>
                        <w:t xml:space="preserve"> smartkontrakter, der </w:t>
                      </w:r>
                      <w:r>
                        <w:rPr>
                          <w:rFonts w:eastAsia="Arial" w:cs="Arial"/>
                          <w:i/>
                          <w:iCs/>
                          <w:color w:val="000000"/>
                          <w:szCs w:val="21"/>
                        </w:rPr>
                        <w:t>brug</w:t>
                      </w:r>
                      <w:r w:rsidR="00B04AB1" w:rsidRPr="00953B14">
                        <w:rPr>
                          <w:rFonts w:eastAsia="Arial" w:cs="Arial"/>
                          <w:i/>
                          <w:iCs/>
                          <w:color w:val="000000"/>
                          <w:szCs w:val="21"/>
                        </w:rPr>
                        <w:t>es i udbuddet af en reguleret aktivitet</w:t>
                      </w:r>
                      <w:r w:rsidR="00E565DB">
                        <w:rPr>
                          <w:rFonts w:eastAsia="Arial" w:cs="Arial"/>
                          <w:i/>
                          <w:iCs/>
                          <w:color w:val="000000"/>
                          <w:szCs w:val="21"/>
                        </w:rPr>
                        <w:t xml:space="preserve">. </w:t>
                      </w:r>
                      <w:r w:rsidR="00B04AB1" w:rsidRPr="00645438">
                        <w:rPr>
                          <w:rFonts w:eastAsia="Arial" w:cs="Arial"/>
                          <w:i/>
                          <w:iCs/>
                          <w:color w:val="000000"/>
                          <w:szCs w:val="21"/>
                        </w:rPr>
                        <w:t>Graden af decentralitet vil alt andet lige falde i takt med</w:t>
                      </w:r>
                      <w:r w:rsidR="001E1ED8" w:rsidRPr="00645438">
                        <w:rPr>
                          <w:rFonts w:eastAsia="Arial" w:cs="Arial"/>
                          <w:i/>
                          <w:iCs/>
                          <w:color w:val="000000"/>
                          <w:szCs w:val="21"/>
                        </w:rPr>
                        <w:t>,</w:t>
                      </w:r>
                      <w:r w:rsidR="00B04AB1" w:rsidRPr="00645438">
                        <w:rPr>
                          <w:rFonts w:eastAsia="Arial" w:cs="Arial"/>
                          <w:i/>
                          <w:iCs/>
                          <w:color w:val="000000"/>
                          <w:szCs w:val="21"/>
                        </w:rPr>
                        <w:t xml:space="preserve"> at </w:t>
                      </w:r>
                      <w:r w:rsidR="00B50941" w:rsidRPr="00645438">
                        <w:rPr>
                          <w:rFonts w:eastAsia="Arial" w:cs="Arial"/>
                          <w:i/>
                          <w:iCs/>
                          <w:color w:val="000000"/>
                          <w:szCs w:val="21"/>
                        </w:rPr>
                        <w:t xml:space="preserve">disponeringsgraden </w:t>
                      </w:r>
                      <w:r w:rsidR="00B04AB1" w:rsidRPr="00645438">
                        <w:rPr>
                          <w:rFonts w:eastAsia="Arial" w:cs="Arial"/>
                          <w:i/>
                          <w:iCs/>
                          <w:color w:val="000000"/>
                          <w:szCs w:val="21"/>
                        </w:rPr>
                        <w:t xml:space="preserve">over smartkontrakten stiger. </w:t>
                      </w:r>
                    </w:p>
                    <w:p w14:paraId="7BCF4596" w14:textId="77777777" w:rsidR="00B04AB1" w:rsidRPr="00953B14" w:rsidRDefault="00B04AB1" w:rsidP="00B04AB1">
                      <w:pPr>
                        <w:spacing w:line="279" w:lineRule="auto"/>
                        <w:textDirection w:val="btLr"/>
                        <w:rPr>
                          <w:i/>
                          <w:iCs/>
                          <w:szCs w:val="21"/>
                        </w:rPr>
                      </w:pPr>
                    </w:p>
                  </w:txbxContent>
                </v:textbox>
                <w10:wrap anchorx="margin"/>
              </v:roundrect>
            </w:pict>
          </mc:Fallback>
        </mc:AlternateContent>
      </w:r>
    </w:p>
    <w:p w14:paraId="76AB3D40" w14:textId="7824C746" w:rsidR="00B04AB1" w:rsidRDefault="00B04AB1" w:rsidP="00B04AB1"/>
    <w:p w14:paraId="74187FC5" w14:textId="77777777" w:rsidR="00AD7C68" w:rsidRDefault="00AD7C68" w:rsidP="00B04AB1"/>
    <w:p w14:paraId="60C38364" w14:textId="77777777" w:rsidR="00AD7C68" w:rsidRDefault="00AD7C68" w:rsidP="00B04AB1"/>
    <w:p w14:paraId="65843321" w14:textId="77777777" w:rsidR="00B04AB1" w:rsidRDefault="00B04AB1" w:rsidP="00B04AB1"/>
    <w:p w14:paraId="43A7B0AC" w14:textId="77777777" w:rsidR="00360485" w:rsidRDefault="00360485" w:rsidP="00B04AB1"/>
    <w:p w14:paraId="1D007A57" w14:textId="74CA1862" w:rsidR="00B04AB1" w:rsidRDefault="00B04AB1" w:rsidP="00B04AB1">
      <w:r>
        <w:t xml:space="preserve">Hvis smartkontrakterne, der udgør </w:t>
      </w:r>
      <w:proofErr w:type="spellStart"/>
      <w:r>
        <w:t>DEX</w:t>
      </w:r>
      <w:r w:rsidR="00184396">
        <w:t>’</w:t>
      </w:r>
      <w:r>
        <w:t>en</w:t>
      </w:r>
      <w:proofErr w:type="spellEnd"/>
      <w:r>
        <w:t xml:space="preserve"> i eksemplet</w:t>
      </w:r>
      <w:r w:rsidR="00184396">
        <w:t xml:space="preserve"> i afsnit 4.2</w:t>
      </w:r>
      <w:r>
        <w:t>, er programmeret med særlige redigeringsadgange, bør det ind</w:t>
      </w:r>
      <w:r w:rsidR="00184396">
        <w:t>gå</w:t>
      </w:r>
      <w:r>
        <w:t xml:space="preserve"> i vurderingen</w:t>
      </w:r>
      <w:r w:rsidR="001E1ED8">
        <w:t>,</w:t>
      </w:r>
      <w:r>
        <w:t xml:space="preserve"> om redigeringsadgangene har afgørende betydning for udbuddet af handels</w:t>
      </w:r>
      <w:r w:rsidR="00B50941">
        <w:t>platformen</w:t>
      </w:r>
      <w:r>
        <w:t xml:space="preserve">. Det kunne </w:t>
      </w:r>
      <w:r w:rsidR="00184396">
        <w:t xml:space="preserve">f.eks. </w:t>
      </w:r>
      <w:r>
        <w:t xml:space="preserve">være </w:t>
      </w:r>
      <w:r w:rsidR="00184396">
        <w:t xml:space="preserve">i </w:t>
      </w:r>
      <w:r>
        <w:t>tilfælde, hv</w:t>
      </w:r>
      <w:r w:rsidR="00B50941">
        <w:t xml:space="preserve">or </w:t>
      </w:r>
      <w:r w:rsidR="00964EBA">
        <w:t xml:space="preserve">en </w:t>
      </w:r>
      <w:r>
        <w:t>part</w:t>
      </w:r>
      <w:r w:rsidR="00964EBA">
        <w:t xml:space="preserve"> h</w:t>
      </w:r>
      <w:r>
        <w:t>ar adgang til at styre</w:t>
      </w:r>
      <w:r w:rsidR="001E1ED8">
        <w:t>,</w:t>
      </w:r>
      <w:r>
        <w:t xml:space="preserve"> hvilke offentlige adresser der kan stille likviditet på </w:t>
      </w:r>
      <w:proofErr w:type="spellStart"/>
      <w:r>
        <w:t>DEX</w:t>
      </w:r>
      <w:r w:rsidR="00184396">
        <w:t>’</w:t>
      </w:r>
      <w:r>
        <w:t>en</w:t>
      </w:r>
      <w:proofErr w:type="spellEnd"/>
      <w:r>
        <w:t xml:space="preserve">, eller hvilke brugere der kan købe </w:t>
      </w:r>
      <w:proofErr w:type="spellStart"/>
      <w:r>
        <w:t>kryptoaktiver</w:t>
      </w:r>
      <w:proofErr w:type="spellEnd"/>
      <w:r>
        <w:t xml:space="preserve"> på </w:t>
      </w:r>
      <w:proofErr w:type="spellStart"/>
      <w:r>
        <w:t>DEX</w:t>
      </w:r>
      <w:r w:rsidR="00184396">
        <w:t>’</w:t>
      </w:r>
      <w:r>
        <w:t>en</w:t>
      </w:r>
      <w:proofErr w:type="spellEnd"/>
      <w:r>
        <w:t xml:space="preserve">. </w:t>
      </w:r>
      <w:r w:rsidR="00184396">
        <w:t>Det</w:t>
      </w:r>
      <w:r>
        <w:t xml:space="preserve"> kunne </w:t>
      </w:r>
      <w:r w:rsidR="00184396">
        <w:t>også</w:t>
      </w:r>
      <w:r>
        <w:t xml:space="preserve"> være </w:t>
      </w:r>
      <w:r w:rsidR="00184396">
        <w:t xml:space="preserve">i </w:t>
      </w:r>
      <w:r>
        <w:t xml:space="preserve">tilfælde, hvor redigeringsadgangen </w:t>
      </w:r>
      <w:r w:rsidR="00184396">
        <w:t>gør det muligt at</w:t>
      </w:r>
      <w:r>
        <w:t xml:space="preserve"> tilpas</w:t>
      </w:r>
      <w:r w:rsidR="00184396">
        <w:t>se</w:t>
      </w:r>
      <w:r>
        <w:t xml:space="preserve"> strukturen for integrationen mellem det sæt af smartkontrakter, der udgør </w:t>
      </w:r>
      <w:proofErr w:type="spellStart"/>
      <w:r>
        <w:t>DEX</w:t>
      </w:r>
      <w:r w:rsidR="00184396">
        <w:t>’</w:t>
      </w:r>
      <w:r>
        <w:t>en</w:t>
      </w:r>
      <w:proofErr w:type="spellEnd"/>
      <w:r w:rsidR="00E450CC">
        <w:t xml:space="preserve">, som f.eks. </w:t>
      </w:r>
      <w:r w:rsidR="00184396">
        <w:t xml:space="preserve">i en situation, hvor </w:t>
      </w:r>
      <w:r>
        <w:t>en ny smartkontrakt skal erstatte en gammel og forældet smartkontrakt</w:t>
      </w:r>
      <w:r w:rsidR="00184396">
        <w:t>. Det kunne også være</w:t>
      </w:r>
      <w:r w:rsidR="00D62687">
        <w:t xml:space="preserve"> i tilfælde</w:t>
      </w:r>
      <w:r w:rsidR="00184396">
        <w:t>, hvor</w:t>
      </w:r>
      <w:r>
        <w:t xml:space="preserve"> en ekstern datakilde (</w:t>
      </w:r>
      <w:r w:rsidR="00E706B3">
        <w:t xml:space="preserve">såkaldt </w:t>
      </w:r>
      <w:proofErr w:type="spellStart"/>
      <w:r w:rsidRPr="00645438">
        <w:t>oracle</w:t>
      </w:r>
      <w:proofErr w:type="spellEnd"/>
      <w:r w:rsidR="006B3DD7" w:rsidRPr="00EA4852">
        <w:rPr>
          <w:rStyle w:val="Fodnotehenvisning"/>
        </w:rPr>
        <w:footnoteReference w:id="7"/>
      </w:r>
      <w:r>
        <w:t xml:space="preserve">), der </w:t>
      </w:r>
      <w:r w:rsidR="00184396">
        <w:t>brug</w:t>
      </w:r>
      <w:r>
        <w:t>es i prissætningen af aktiverne, skal opdateres.</w:t>
      </w:r>
    </w:p>
    <w:p w14:paraId="366224E3" w14:textId="77777777" w:rsidR="00B04AB1" w:rsidRDefault="00B04AB1" w:rsidP="00B04AB1"/>
    <w:p w14:paraId="5ADFA748" w14:textId="6330947F" w:rsidR="00FF3F5F" w:rsidRDefault="0070384D" w:rsidP="00B04AB1">
      <w:r>
        <w:lastRenderedPageBreak/>
        <w:t xml:space="preserve">I sin </w:t>
      </w:r>
      <w:r w:rsidR="00B04AB1">
        <w:t xml:space="preserve">vurdering af, om en smartkontrakt kan anses som teknisk decentral, skelner </w:t>
      </w:r>
      <w:r>
        <w:t xml:space="preserve">Finanstilsynet </w:t>
      </w:r>
      <w:r w:rsidR="00B04AB1">
        <w:t>derfor yderligere mellem såkaldte autonome smartkontrakter og smartkontrakter med indbyggede redigeringsadgange</w:t>
      </w:r>
      <w:r w:rsidR="00FC6D8F">
        <w:t xml:space="preserve">: </w:t>
      </w:r>
    </w:p>
    <w:p w14:paraId="06BDB45B" w14:textId="77777777" w:rsidR="00FF3F5F" w:rsidRDefault="00FF3F5F" w:rsidP="00B04AB1"/>
    <w:p w14:paraId="2D09C3C9" w14:textId="0131986D" w:rsidR="00FC6D8F" w:rsidRPr="00FC6D8F" w:rsidRDefault="00FC6D8F" w:rsidP="00D62687">
      <w:pPr>
        <w:pStyle w:val="Listeafsnit"/>
        <w:numPr>
          <w:ilvl w:val="0"/>
          <w:numId w:val="46"/>
        </w:numPr>
        <w:tabs>
          <w:tab w:val="clear" w:pos="567"/>
        </w:tabs>
        <w:spacing w:line="279" w:lineRule="auto"/>
        <w:textDirection w:val="btLr"/>
        <w:rPr>
          <w:rFonts w:eastAsia="Arial" w:cs="Arial"/>
          <w:color w:val="000000"/>
          <w:szCs w:val="21"/>
        </w:rPr>
      </w:pPr>
      <w:r>
        <w:rPr>
          <w:rFonts w:eastAsia="Arial" w:cs="Arial"/>
          <w:color w:val="000000"/>
          <w:szCs w:val="21"/>
        </w:rPr>
        <w:t xml:space="preserve">autonome </w:t>
      </w:r>
      <w:r w:rsidRPr="00FC6D8F">
        <w:rPr>
          <w:rFonts w:eastAsia="Arial" w:cs="Arial"/>
          <w:color w:val="000000"/>
          <w:szCs w:val="21"/>
        </w:rPr>
        <w:t>smartkontrakter</w:t>
      </w:r>
      <w:r>
        <w:rPr>
          <w:rFonts w:eastAsia="Arial" w:cs="Arial"/>
          <w:color w:val="000000"/>
          <w:szCs w:val="21"/>
        </w:rPr>
        <w:t xml:space="preserve"> </w:t>
      </w:r>
      <w:r w:rsidR="00D62687">
        <w:rPr>
          <w:rFonts w:eastAsia="Arial" w:cs="Arial"/>
          <w:color w:val="000000"/>
          <w:szCs w:val="21"/>
        </w:rPr>
        <w:t xml:space="preserve">er selveksekverende og udfører de programmerede handlingerne </w:t>
      </w:r>
      <w:r w:rsidRPr="00FC6D8F">
        <w:rPr>
          <w:rFonts w:eastAsia="Arial" w:cs="Arial"/>
          <w:color w:val="000000"/>
          <w:szCs w:val="21"/>
        </w:rPr>
        <w:t xml:space="preserve">uden mulighed for tilpasning </w:t>
      </w:r>
      <w:r w:rsidR="00D62687">
        <w:rPr>
          <w:rFonts w:eastAsia="Arial" w:cs="Arial"/>
          <w:color w:val="000000"/>
          <w:szCs w:val="21"/>
        </w:rPr>
        <w:t>af de i koden fastsatte input til smartkontrakten.</w:t>
      </w:r>
    </w:p>
    <w:p w14:paraId="40140012" w14:textId="528F5796" w:rsidR="00FC6D8F" w:rsidRPr="00D62687" w:rsidRDefault="00D62687" w:rsidP="009F7E22">
      <w:pPr>
        <w:pStyle w:val="Listeafsnit"/>
        <w:numPr>
          <w:ilvl w:val="0"/>
          <w:numId w:val="46"/>
        </w:numPr>
        <w:tabs>
          <w:tab w:val="clear" w:pos="567"/>
        </w:tabs>
        <w:spacing w:line="279" w:lineRule="auto"/>
        <w:textDirection w:val="btLr"/>
      </w:pPr>
      <w:r>
        <w:rPr>
          <w:rFonts w:eastAsia="Arial" w:cs="Arial"/>
          <w:color w:val="000000"/>
          <w:szCs w:val="21"/>
        </w:rPr>
        <w:t>s</w:t>
      </w:r>
      <w:r w:rsidR="00FC6D8F" w:rsidRPr="00D62687">
        <w:rPr>
          <w:rFonts w:eastAsia="Arial" w:cs="Arial"/>
          <w:color w:val="000000"/>
          <w:szCs w:val="21"/>
        </w:rPr>
        <w:t>martkontrakter</w:t>
      </w:r>
      <w:r w:rsidRPr="00D62687">
        <w:rPr>
          <w:rFonts w:eastAsia="Arial" w:cs="Arial"/>
          <w:color w:val="000000"/>
          <w:szCs w:val="21"/>
        </w:rPr>
        <w:t xml:space="preserve"> med indbyggede </w:t>
      </w:r>
      <w:r w:rsidR="00FC6D8F" w:rsidRPr="00D62687">
        <w:rPr>
          <w:rFonts w:eastAsia="Arial" w:cs="Arial"/>
          <w:color w:val="000000"/>
          <w:szCs w:val="21"/>
        </w:rPr>
        <w:t xml:space="preserve">redigeringsadgange </w:t>
      </w:r>
      <w:r>
        <w:rPr>
          <w:rFonts w:eastAsia="Arial" w:cs="Arial"/>
          <w:color w:val="000000"/>
          <w:szCs w:val="21"/>
        </w:rPr>
        <w:t xml:space="preserve">er også selveksekverende, men </w:t>
      </w:r>
      <w:r w:rsidRPr="00D62687">
        <w:rPr>
          <w:rFonts w:eastAsia="Arial" w:cs="Arial"/>
          <w:color w:val="000000"/>
          <w:szCs w:val="21"/>
        </w:rPr>
        <w:t xml:space="preserve">har </w:t>
      </w:r>
      <w:r w:rsidR="00FC6D8F" w:rsidRPr="00D62687">
        <w:rPr>
          <w:rFonts w:eastAsia="Arial" w:cs="Arial"/>
          <w:color w:val="000000"/>
          <w:szCs w:val="21"/>
        </w:rPr>
        <w:t xml:space="preserve">indlejret </w:t>
      </w:r>
      <w:r w:rsidRPr="00D62687">
        <w:rPr>
          <w:rFonts w:eastAsia="Arial" w:cs="Arial"/>
          <w:color w:val="000000"/>
          <w:szCs w:val="21"/>
        </w:rPr>
        <w:t xml:space="preserve">beføjelser </w:t>
      </w:r>
      <w:r w:rsidR="00FC6D8F" w:rsidRPr="00D62687">
        <w:rPr>
          <w:rFonts w:eastAsia="Arial" w:cs="Arial"/>
          <w:color w:val="000000"/>
          <w:szCs w:val="21"/>
        </w:rPr>
        <w:t>i programmeringen,</w:t>
      </w:r>
      <w:r w:rsidRPr="00D62687">
        <w:rPr>
          <w:rFonts w:eastAsia="Arial" w:cs="Arial"/>
          <w:color w:val="000000"/>
          <w:szCs w:val="21"/>
        </w:rPr>
        <w:t xml:space="preserve"> der muliggør en tilpasning af de input, som smartkontrakten anvender i udførslen af </w:t>
      </w:r>
      <w:r>
        <w:rPr>
          <w:rFonts w:eastAsia="Arial" w:cs="Arial"/>
          <w:color w:val="000000"/>
          <w:szCs w:val="21"/>
        </w:rPr>
        <w:t>de programmerede handlinger.</w:t>
      </w:r>
    </w:p>
    <w:p w14:paraId="75B21B2F" w14:textId="77777777" w:rsidR="00D62687" w:rsidRDefault="00D62687" w:rsidP="00D62687">
      <w:pPr>
        <w:tabs>
          <w:tab w:val="clear" w:pos="567"/>
        </w:tabs>
        <w:spacing w:line="279" w:lineRule="auto"/>
        <w:ind w:left="360"/>
        <w:textDirection w:val="btLr"/>
      </w:pPr>
    </w:p>
    <w:p w14:paraId="6E2DE4AA" w14:textId="512154C4" w:rsidR="00B04AB1" w:rsidRDefault="00B04AB1" w:rsidP="00B04AB1">
      <w:r>
        <w:t xml:space="preserve">Hvis </w:t>
      </w:r>
      <w:r w:rsidR="00497D7F">
        <w:t xml:space="preserve">en </w:t>
      </w:r>
      <w:r>
        <w:t xml:space="preserve">redigeringsadgang giver kontrol over forhold, der er centrale for udbuddet af den regulerede aktivitet, </w:t>
      </w:r>
      <w:r w:rsidR="0070384D">
        <w:t>indiker</w:t>
      </w:r>
      <w:r>
        <w:t xml:space="preserve">er det en grad af </w:t>
      </w:r>
      <w:proofErr w:type="spellStart"/>
      <w:r>
        <w:t>centralitet</w:t>
      </w:r>
      <w:proofErr w:type="spellEnd"/>
      <w:r>
        <w:t xml:space="preserve"> i udbuddet. Det er derfor afgørende for vurderingen, om </w:t>
      </w:r>
      <w:r w:rsidR="0070384D">
        <w:t xml:space="preserve">de elementer af aktiviteten, som </w:t>
      </w:r>
      <w:r w:rsidR="00242C59">
        <w:t>adgang</w:t>
      </w:r>
      <w:r w:rsidR="0070384D">
        <w:t>en</w:t>
      </w:r>
      <w:r>
        <w:t xml:space="preserve"> vedrører</w:t>
      </w:r>
      <w:r w:rsidR="0070384D">
        <w:t>, er</w:t>
      </w:r>
      <w:r>
        <w:t xml:space="preserve"> regulerede. </w:t>
      </w:r>
    </w:p>
    <w:p w14:paraId="23790EB7" w14:textId="77777777" w:rsidR="00D15CCE" w:rsidRDefault="00D15CCE" w:rsidP="00B04AB1"/>
    <w:p w14:paraId="2B6EC04B" w14:textId="5A52370D" w:rsidR="00FC6D8F" w:rsidRDefault="00FC6D8F" w:rsidP="00FC6D8F">
      <w:pPr>
        <w:pStyle w:val="Overskrift3"/>
      </w:pPr>
      <w:r>
        <w:rPr>
          <w:rFonts w:eastAsia="Arial"/>
        </w:rPr>
        <w:t xml:space="preserve">5.2.1.3. </w:t>
      </w:r>
      <w:r w:rsidRPr="00B50941">
        <w:rPr>
          <w:rFonts w:eastAsia="Arial"/>
        </w:rPr>
        <w:t>Særlige iboende rettigheder</w:t>
      </w:r>
    </w:p>
    <w:p w14:paraId="23E0D950" w14:textId="68BF1C8F" w:rsidR="00FC6D8F" w:rsidRDefault="00FC6D8F" w:rsidP="00B04AB1">
      <w:r>
        <w:t>Smartkontrakter kan, udover at have indlejrede redigeringsadgange, også være struktureret med uforanderlige iboende rettigheder.</w:t>
      </w:r>
    </w:p>
    <w:p w14:paraId="4C7C3D85" w14:textId="168B7A11" w:rsidR="00FC6D8F" w:rsidRDefault="00FC6D8F" w:rsidP="00B04AB1"/>
    <w:p w14:paraId="2BEE1A04" w14:textId="178D47B4" w:rsidR="00B04AB1" w:rsidRDefault="00F71F99" w:rsidP="00B04AB1">
      <w:r>
        <w:rPr>
          <w:noProof/>
        </w:rPr>
        <mc:AlternateContent>
          <mc:Choice Requires="wps">
            <w:drawing>
              <wp:anchor distT="0" distB="0" distL="114300" distR="114300" simplePos="0" relativeHeight="251660288" behindDoc="0" locked="0" layoutInCell="1" allowOverlap="1" wp14:anchorId="278B8898" wp14:editId="6C2D0E5F">
                <wp:simplePos x="0" y="0"/>
                <wp:positionH relativeFrom="column">
                  <wp:posOffset>258445</wp:posOffset>
                </wp:positionH>
                <wp:positionV relativeFrom="paragraph">
                  <wp:posOffset>3175</wp:posOffset>
                </wp:positionV>
                <wp:extent cx="4859655" cy="899795"/>
                <wp:effectExtent l="0" t="0" r="0" b="0"/>
                <wp:wrapNone/>
                <wp:docPr id="77616061" name="Rektangel: afrundede hjørne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899795"/>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72EBD0CA" w14:textId="0A1AC988" w:rsidR="00B04AB1" w:rsidRPr="00B50941" w:rsidRDefault="00D77196" w:rsidP="00B04AB1">
                            <w:pPr>
                              <w:spacing w:line="279" w:lineRule="auto"/>
                              <w:textDirection w:val="btLr"/>
                              <w:rPr>
                                <w:i/>
                                <w:iCs/>
                              </w:rPr>
                            </w:pPr>
                            <w:r>
                              <w:rPr>
                                <w:rFonts w:eastAsia="Arial" w:cs="Arial"/>
                                <w:i/>
                                <w:iCs/>
                                <w:color w:val="000000"/>
                              </w:rPr>
                              <w:t xml:space="preserve">Finanstilsynet </w:t>
                            </w:r>
                            <w:r w:rsidR="00B04AB1" w:rsidRPr="00B50941">
                              <w:rPr>
                                <w:rFonts w:eastAsia="Arial" w:cs="Arial"/>
                                <w:i/>
                                <w:iCs/>
                                <w:color w:val="000000"/>
                              </w:rPr>
                              <w:t>vurdere</w:t>
                            </w:r>
                            <w:r>
                              <w:rPr>
                                <w:rFonts w:eastAsia="Arial" w:cs="Arial"/>
                                <w:i/>
                                <w:iCs/>
                                <w:color w:val="000000"/>
                              </w:rPr>
                              <w:t>r</w:t>
                            </w:r>
                            <w:r w:rsidR="00B04AB1" w:rsidRPr="00B50941">
                              <w:rPr>
                                <w:rFonts w:eastAsia="Arial" w:cs="Arial"/>
                                <w:i/>
                                <w:iCs/>
                                <w:color w:val="000000"/>
                              </w:rPr>
                              <w:t xml:space="preserve">, om et eller flere </w:t>
                            </w:r>
                            <w:proofErr w:type="spellStart"/>
                            <w:r w:rsidR="00B04AB1" w:rsidRPr="00B50941">
                              <w:rPr>
                                <w:rFonts w:eastAsia="Arial" w:cs="Arial"/>
                                <w:i/>
                                <w:iCs/>
                                <w:color w:val="000000"/>
                              </w:rPr>
                              <w:t>retssubjekter</w:t>
                            </w:r>
                            <w:proofErr w:type="spellEnd"/>
                            <w:r w:rsidR="00B04AB1" w:rsidRPr="00B50941">
                              <w:rPr>
                                <w:rFonts w:eastAsia="Arial" w:cs="Arial"/>
                                <w:i/>
                                <w:iCs/>
                                <w:color w:val="000000"/>
                              </w:rPr>
                              <w:t xml:space="preserve"> har uforanderlige rettigheder indlejret i en smartkontrakt</w:t>
                            </w:r>
                            <w:r>
                              <w:rPr>
                                <w:rFonts w:eastAsia="Arial" w:cs="Arial"/>
                                <w:i/>
                                <w:iCs/>
                                <w:color w:val="000000"/>
                              </w:rPr>
                              <w:t>, som bruges</w:t>
                            </w:r>
                            <w:r w:rsidR="00B04AB1" w:rsidRPr="00B50941">
                              <w:rPr>
                                <w:rFonts w:eastAsia="Arial" w:cs="Arial"/>
                                <w:i/>
                                <w:iCs/>
                                <w:color w:val="000000"/>
                              </w:rPr>
                              <w:t xml:space="preserve"> i udbuddet af regulerede aktiviteter, og om disse rettigheder </w:t>
                            </w:r>
                            <w:r w:rsidR="00E450CC">
                              <w:rPr>
                                <w:rFonts w:eastAsia="Arial" w:cs="Arial"/>
                                <w:i/>
                                <w:iCs/>
                                <w:color w:val="000000"/>
                              </w:rPr>
                              <w:t>har</w:t>
                            </w:r>
                            <w:r w:rsidR="00B04AB1" w:rsidRPr="00B50941">
                              <w:rPr>
                                <w:rFonts w:eastAsia="Arial" w:cs="Arial"/>
                                <w:i/>
                                <w:iCs/>
                                <w:color w:val="000000"/>
                              </w:rPr>
                              <w:t xml:space="preserve"> en sådan karakter, at </w:t>
                            </w:r>
                            <w:proofErr w:type="spellStart"/>
                            <w:r w:rsidR="00B04AB1" w:rsidRPr="00B50941">
                              <w:rPr>
                                <w:rFonts w:eastAsia="Arial" w:cs="Arial"/>
                                <w:i/>
                                <w:iCs/>
                                <w:color w:val="000000"/>
                              </w:rPr>
                              <w:t>retssubjektet</w:t>
                            </w:r>
                            <w:proofErr w:type="spellEnd"/>
                            <w:r w:rsidR="00B04AB1" w:rsidRPr="00B50941">
                              <w:rPr>
                                <w:rFonts w:eastAsia="Arial" w:cs="Arial"/>
                                <w:i/>
                                <w:iCs/>
                                <w:color w:val="000000"/>
                              </w:rPr>
                              <w:t xml:space="preserve"> </w:t>
                            </w:r>
                            <w:r w:rsidR="00C01DDE">
                              <w:rPr>
                                <w:rFonts w:eastAsia="Arial" w:cs="Arial"/>
                                <w:i/>
                                <w:iCs/>
                                <w:color w:val="000000"/>
                              </w:rPr>
                              <w:t xml:space="preserve">i højere grad </w:t>
                            </w:r>
                            <w:r w:rsidR="00B04AB1" w:rsidRPr="00B50941">
                              <w:rPr>
                                <w:rFonts w:eastAsia="Arial" w:cs="Arial"/>
                                <w:i/>
                                <w:iCs/>
                                <w:color w:val="000000"/>
                              </w:rPr>
                              <w:t xml:space="preserve">kan siges at </w:t>
                            </w:r>
                            <w:r w:rsidR="00C64DC7">
                              <w:rPr>
                                <w:rFonts w:eastAsia="Arial" w:cs="Arial"/>
                                <w:i/>
                                <w:iCs/>
                                <w:color w:val="000000"/>
                              </w:rPr>
                              <w:t>råde</w:t>
                            </w:r>
                            <w:r w:rsidR="00B04AB1" w:rsidRPr="00B50941">
                              <w:rPr>
                                <w:rFonts w:eastAsia="Arial" w:cs="Arial"/>
                                <w:i/>
                                <w:iCs/>
                                <w:color w:val="000000"/>
                              </w:rPr>
                              <w:t xml:space="preserve"> over udbuddet af aktiviteten.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78B8898" id="Rektangel: afrundede hjørner 7" o:spid="_x0000_s1031" style="position:absolute;left:0;text-align:left;margin-left:20.35pt;margin-top:.25pt;width:382.6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" fillcolor="#f2f2f2">
                <v:stroke startarrowwidth="narrow" startarrowlength="short" endarrowwidth="narrow" endarrowlength="short"/>
                <v:textbox inset="2.53958mm,1.2694mm,2.53958mm,1.2694mm">
                  <w:txbxContent>
                    <w:p w14:paraId="72EBD0CA" w14:textId="0A1AC988" w:rsidR="00B04AB1" w:rsidRPr="00B50941" w:rsidRDefault="00D77196" w:rsidP="00B04AB1">
                      <w:pPr>
                        <w:spacing w:line="279" w:lineRule="auto"/>
                        <w:textDirection w:val="btLr"/>
                        <w:rPr>
                          <w:i/>
                          <w:iCs/>
                        </w:rPr>
                      </w:pPr>
                      <w:r>
                        <w:rPr>
                          <w:rFonts w:eastAsia="Arial" w:cs="Arial"/>
                          <w:i/>
                          <w:iCs/>
                          <w:color w:val="000000"/>
                        </w:rPr>
                        <w:t xml:space="preserve">Finanstilsynet </w:t>
                      </w:r>
                      <w:r w:rsidR="00B04AB1" w:rsidRPr="00B50941">
                        <w:rPr>
                          <w:rFonts w:eastAsia="Arial" w:cs="Arial"/>
                          <w:i/>
                          <w:iCs/>
                          <w:color w:val="000000"/>
                        </w:rPr>
                        <w:t>vurdere</w:t>
                      </w:r>
                      <w:r>
                        <w:rPr>
                          <w:rFonts w:eastAsia="Arial" w:cs="Arial"/>
                          <w:i/>
                          <w:iCs/>
                          <w:color w:val="000000"/>
                        </w:rPr>
                        <w:t>r</w:t>
                      </w:r>
                      <w:r w:rsidR="00B04AB1" w:rsidRPr="00B50941">
                        <w:rPr>
                          <w:rFonts w:eastAsia="Arial" w:cs="Arial"/>
                          <w:i/>
                          <w:iCs/>
                          <w:color w:val="000000"/>
                        </w:rPr>
                        <w:t>, om et eller flere retssubjekter har uforanderlige rettigheder indlejret i en smartkontrakt</w:t>
                      </w:r>
                      <w:r>
                        <w:rPr>
                          <w:rFonts w:eastAsia="Arial" w:cs="Arial"/>
                          <w:i/>
                          <w:iCs/>
                          <w:color w:val="000000"/>
                        </w:rPr>
                        <w:t>, som bruges</w:t>
                      </w:r>
                      <w:r w:rsidR="00B04AB1" w:rsidRPr="00B50941">
                        <w:rPr>
                          <w:rFonts w:eastAsia="Arial" w:cs="Arial"/>
                          <w:i/>
                          <w:iCs/>
                          <w:color w:val="000000"/>
                        </w:rPr>
                        <w:t xml:space="preserve"> i udbuddet af regulerede aktiviteter, og om disse rettigheder </w:t>
                      </w:r>
                      <w:r w:rsidR="00E450CC">
                        <w:rPr>
                          <w:rFonts w:eastAsia="Arial" w:cs="Arial"/>
                          <w:i/>
                          <w:iCs/>
                          <w:color w:val="000000"/>
                        </w:rPr>
                        <w:t>har</w:t>
                      </w:r>
                      <w:r w:rsidR="00B04AB1" w:rsidRPr="00B50941">
                        <w:rPr>
                          <w:rFonts w:eastAsia="Arial" w:cs="Arial"/>
                          <w:i/>
                          <w:iCs/>
                          <w:color w:val="000000"/>
                        </w:rPr>
                        <w:t xml:space="preserve"> en sådan karakter, at retssubjektet </w:t>
                      </w:r>
                      <w:r w:rsidR="00C01DDE">
                        <w:rPr>
                          <w:rFonts w:eastAsia="Arial" w:cs="Arial"/>
                          <w:i/>
                          <w:iCs/>
                          <w:color w:val="000000"/>
                        </w:rPr>
                        <w:t xml:space="preserve">i højere grad </w:t>
                      </w:r>
                      <w:r w:rsidR="00B04AB1" w:rsidRPr="00B50941">
                        <w:rPr>
                          <w:rFonts w:eastAsia="Arial" w:cs="Arial"/>
                          <w:i/>
                          <w:iCs/>
                          <w:color w:val="000000"/>
                        </w:rPr>
                        <w:t xml:space="preserve">kan siges at </w:t>
                      </w:r>
                      <w:r w:rsidR="00C64DC7">
                        <w:rPr>
                          <w:rFonts w:eastAsia="Arial" w:cs="Arial"/>
                          <w:i/>
                          <w:iCs/>
                          <w:color w:val="000000"/>
                        </w:rPr>
                        <w:t>råde</w:t>
                      </w:r>
                      <w:r w:rsidR="00B04AB1" w:rsidRPr="00B50941">
                        <w:rPr>
                          <w:rFonts w:eastAsia="Arial" w:cs="Arial"/>
                          <w:i/>
                          <w:iCs/>
                          <w:color w:val="000000"/>
                        </w:rPr>
                        <w:t xml:space="preserve"> over udbuddet af aktiviteten. </w:t>
                      </w:r>
                    </w:p>
                  </w:txbxContent>
                </v:textbox>
              </v:roundrect>
            </w:pict>
          </mc:Fallback>
        </mc:AlternateContent>
      </w:r>
    </w:p>
    <w:p w14:paraId="6868E24B" w14:textId="46CF67E8" w:rsidR="00B04AB1" w:rsidRDefault="00B04AB1" w:rsidP="00B04AB1"/>
    <w:p w14:paraId="1ABE4518" w14:textId="7CCF3B9D" w:rsidR="00B04AB1" w:rsidRDefault="00B04AB1" w:rsidP="00B04AB1">
      <w:r>
        <w:t xml:space="preserve">  </w:t>
      </w:r>
    </w:p>
    <w:p w14:paraId="106D6823" w14:textId="5618EAD5" w:rsidR="00B04AB1" w:rsidRDefault="00B04AB1" w:rsidP="00B04AB1"/>
    <w:p w14:paraId="5040C5F4" w14:textId="77777777" w:rsidR="00B04AB1" w:rsidRDefault="00B04AB1" w:rsidP="00B04AB1">
      <w:r>
        <w:t xml:space="preserve"> </w:t>
      </w:r>
    </w:p>
    <w:p w14:paraId="7B7DF240" w14:textId="77777777" w:rsidR="003E6A37" w:rsidRDefault="003E6A37" w:rsidP="00B04AB1"/>
    <w:p w14:paraId="375A1CA3" w14:textId="1D6B4411" w:rsidR="00B04AB1" w:rsidRDefault="00D77196" w:rsidP="00B04AB1">
      <w:r>
        <w:t>E</w:t>
      </w:r>
      <w:r w:rsidR="00B04AB1">
        <w:t xml:space="preserve">n smartkontrakt </w:t>
      </w:r>
      <w:r>
        <w:t xml:space="preserve">kan f.eks. være struktureret </w:t>
      </w:r>
      <w:r w:rsidR="00B04AB1">
        <w:t xml:space="preserve">med særlige aflønningsmønstre. I eksemplet med </w:t>
      </w:r>
      <w:proofErr w:type="spellStart"/>
      <w:r w:rsidR="00B04AB1">
        <w:t>DEX</w:t>
      </w:r>
      <w:r>
        <w:t>’</w:t>
      </w:r>
      <w:r w:rsidR="00B04AB1">
        <w:t>en</w:t>
      </w:r>
      <w:proofErr w:type="spellEnd"/>
      <w:r w:rsidR="00B04AB1">
        <w:t xml:space="preserve"> </w:t>
      </w:r>
      <w:r>
        <w:t xml:space="preserve">i afsnit 4.2. </w:t>
      </w:r>
      <w:r w:rsidR="00B04AB1">
        <w:t>kunne det</w:t>
      </w:r>
      <w:r w:rsidR="0041342F">
        <w:t xml:space="preserve"> </w:t>
      </w:r>
      <w:r w:rsidR="005705D9">
        <w:t>tænkes</w:t>
      </w:r>
      <w:r w:rsidR="00B04AB1">
        <w:t xml:space="preserve">, at specifikke offentlige adresser på blockchainen modtager en betaling for hver </w:t>
      </w:r>
      <w:r w:rsidR="005705D9">
        <w:t xml:space="preserve">gennemført </w:t>
      </w:r>
      <w:r w:rsidR="00B04AB1">
        <w:t xml:space="preserve">handel. Sådanne offentlige adresser kan </w:t>
      </w:r>
      <w:r w:rsidR="00E706B3">
        <w:t xml:space="preserve">f.eks. </w:t>
      </w:r>
      <w:r w:rsidR="00B04AB1">
        <w:t xml:space="preserve">være kontrolleret af </w:t>
      </w:r>
      <w:r w:rsidR="003A1AE9">
        <w:t>personer</w:t>
      </w:r>
      <w:r w:rsidR="005705D9">
        <w:t>,</w:t>
      </w:r>
      <w:r w:rsidR="003A1AE9">
        <w:t xml:space="preserve"> der har </w:t>
      </w:r>
      <w:r w:rsidR="005705D9">
        <w:t xml:space="preserve">været med til at </w:t>
      </w:r>
      <w:r w:rsidR="00B04AB1">
        <w:t>udvikl</w:t>
      </w:r>
      <w:r w:rsidR="005705D9">
        <w:t>e</w:t>
      </w:r>
      <w:r w:rsidR="003A1AE9">
        <w:t xml:space="preserve"> </w:t>
      </w:r>
      <w:proofErr w:type="spellStart"/>
      <w:r w:rsidR="003A1AE9">
        <w:t>DEX</w:t>
      </w:r>
      <w:r w:rsidR="005705D9">
        <w:t>’</w:t>
      </w:r>
      <w:r w:rsidR="003A1AE9">
        <w:t>en</w:t>
      </w:r>
      <w:proofErr w:type="spellEnd"/>
      <w:r w:rsidR="00B04AB1">
        <w:t xml:space="preserve">. </w:t>
      </w:r>
      <w:r w:rsidR="003A1AE9">
        <w:t xml:space="preserve">Det er derfor muligt, at </w:t>
      </w:r>
      <w:r w:rsidR="005705D9">
        <w:t>man</w:t>
      </w:r>
      <w:r w:rsidR="0091243B">
        <w:t xml:space="preserve"> </w:t>
      </w:r>
      <w:r w:rsidR="005705D9">
        <w:t>ville kunne</w:t>
      </w:r>
      <w:r w:rsidR="003A1AE9">
        <w:t xml:space="preserve"> påvise iboende </w:t>
      </w:r>
      <w:r w:rsidR="00B04AB1">
        <w:t xml:space="preserve">forbindelser mellem smartkontrakter og personer, der </w:t>
      </w:r>
      <w:r w:rsidR="00977373">
        <w:t xml:space="preserve">alene eller i samspil med manglende autonomi af de anvendte smartkontrakter </w:t>
      </w:r>
      <w:r w:rsidR="00B04AB1">
        <w:t>k</w:t>
      </w:r>
      <w:r w:rsidR="005705D9">
        <w:t>unne</w:t>
      </w:r>
      <w:r w:rsidR="00B04AB1">
        <w:t xml:space="preserve"> tale for, at disse personer </w:t>
      </w:r>
      <w:r w:rsidR="005705D9">
        <w:t xml:space="preserve">er </w:t>
      </w:r>
      <w:proofErr w:type="spellStart"/>
      <w:r w:rsidR="00B04AB1">
        <w:t>retssubjekt</w:t>
      </w:r>
      <w:r w:rsidR="005705D9">
        <w:t>er</w:t>
      </w:r>
      <w:proofErr w:type="spellEnd"/>
      <w:r w:rsidR="00B04AB1">
        <w:t xml:space="preserve"> for udbuddet af den regulerede aktivitet. Finanstilsynet vil derfor også forholde sig til, om tredjeparter </w:t>
      </w:r>
      <w:r w:rsidR="005705D9">
        <w:t xml:space="preserve">har </w:t>
      </w:r>
      <w:r w:rsidR="00B04AB1">
        <w:t>særlige rettigheder</w:t>
      </w:r>
      <w:r w:rsidR="004C0170">
        <w:t xml:space="preserve"> </w:t>
      </w:r>
      <w:r w:rsidR="005705D9">
        <w:t>i forbindelse med</w:t>
      </w:r>
      <w:r w:rsidR="004C0170">
        <w:t xml:space="preserve"> </w:t>
      </w:r>
      <w:r w:rsidR="00B04AB1">
        <w:t>udbuddet af en reguleret aktivitet med smartkontrakter</w:t>
      </w:r>
      <w:r w:rsidR="005705D9" w:rsidRPr="00EA4852">
        <w:rPr>
          <w:rStyle w:val="Fodnotehenvisning"/>
        </w:rPr>
        <w:footnoteReference w:id="8"/>
      </w:r>
      <w:r w:rsidR="00B04AB1">
        <w:t xml:space="preserve">. </w:t>
      </w:r>
    </w:p>
    <w:p w14:paraId="2EC20687" w14:textId="77777777" w:rsidR="00B04AB1" w:rsidRDefault="00B04AB1" w:rsidP="00C1424A"/>
    <w:p w14:paraId="1CC69914" w14:textId="62188352" w:rsidR="0041342F" w:rsidRPr="00EA4852" w:rsidRDefault="0041342F" w:rsidP="00F64657">
      <w:pPr>
        <w:pStyle w:val="Overskrift3"/>
      </w:pPr>
      <w:r>
        <w:t>5</w:t>
      </w:r>
      <w:r w:rsidRPr="00EA4852">
        <w:t>.</w:t>
      </w:r>
      <w:r w:rsidR="00DE2791">
        <w:t>2</w:t>
      </w:r>
      <w:r w:rsidRPr="00EA4852">
        <w:t>.</w:t>
      </w:r>
      <w:r>
        <w:t>2</w:t>
      </w:r>
      <w:r w:rsidRPr="00EA4852">
        <w:t>.</w:t>
      </w:r>
      <w:r>
        <w:t xml:space="preserve"> Mulige implikationer af </w:t>
      </w:r>
      <w:r w:rsidR="00B33148">
        <w:t xml:space="preserve">centraliseret </w:t>
      </w:r>
      <w:r>
        <w:t>DLT-</w:t>
      </w:r>
      <w:r w:rsidR="005E0002">
        <w:t>system</w:t>
      </w:r>
    </w:p>
    <w:p w14:paraId="09EB56BB" w14:textId="25B8BD3A" w:rsidR="0041342F" w:rsidRDefault="0041342F" w:rsidP="0041342F">
      <w:r>
        <w:t xml:space="preserve">Konventionelle blockchains danner udgangspunkt for principperne for </w:t>
      </w:r>
      <w:r w:rsidR="005705D9">
        <w:t xml:space="preserve">Finanstilsynets </w:t>
      </w:r>
      <w:r>
        <w:t xml:space="preserve">vurdering af </w:t>
      </w:r>
      <w:proofErr w:type="spellStart"/>
      <w:r>
        <w:t>decentralitet</w:t>
      </w:r>
      <w:proofErr w:type="spellEnd"/>
      <w:r>
        <w:t xml:space="preserve">. Men </w:t>
      </w:r>
      <w:r w:rsidR="00FF079D">
        <w:t>regulerede aktiviteter kan</w:t>
      </w:r>
      <w:r>
        <w:t xml:space="preserve"> også udbydes i </w:t>
      </w:r>
      <w:r w:rsidR="00351ACC">
        <w:t xml:space="preserve">andre </w:t>
      </w:r>
      <w:r w:rsidR="00FF079D">
        <w:t xml:space="preserve">former for </w:t>
      </w:r>
      <w:r>
        <w:t>DLT-</w:t>
      </w:r>
      <w:r w:rsidR="005E0002">
        <w:t>systemer</w:t>
      </w:r>
      <w:r w:rsidR="00FF079D">
        <w:t>,</w:t>
      </w:r>
      <w:r w:rsidR="005705D9">
        <w:t xml:space="preserve"> som </w:t>
      </w:r>
      <w:r w:rsidR="00256440">
        <w:t xml:space="preserve">f.eks. </w:t>
      </w:r>
      <w:r w:rsidR="005705D9">
        <w:t>er</w:t>
      </w:r>
      <w:r w:rsidR="00FF079D">
        <w:t xml:space="preserve"> mere centraliserede</w:t>
      </w:r>
      <w:r>
        <w:t>. Der kan derfor opstå tilfælde, hvor vurderingen af</w:t>
      </w:r>
      <w:r w:rsidR="00F34F1C">
        <w:t>,</w:t>
      </w:r>
      <w:r>
        <w:t xml:space="preserve"> om en reguleret aktivitet</w:t>
      </w:r>
      <w:r w:rsidR="00497D7F">
        <w:t xml:space="preserve"> er</w:t>
      </w:r>
      <w:r>
        <w:t xml:space="preserve"> udb</w:t>
      </w:r>
      <w:r w:rsidR="00497D7F">
        <w:t>udt</w:t>
      </w:r>
      <w:r>
        <w:t xml:space="preserve"> decentralt</w:t>
      </w:r>
      <w:r w:rsidR="00F34F1C">
        <w:t>,</w:t>
      </w:r>
      <w:r>
        <w:t xml:space="preserve"> også skal inddrage, om </w:t>
      </w:r>
      <w:r w:rsidR="00256440">
        <w:t xml:space="preserve">de </w:t>
      </w:r>
      <w:proofErr w:type="spellStart"/>
      <w:r w:rsidR="00351ACC">
        <w:t>retssubjekter</w:t>
      </w:r>
      <w:proofErr w:type="spellEnd"/>
      <w:r w:rsidR="007B4ED5">
        <w:t>,</w:t>
      </w:r>
      <w:r w:rsidR="00351ACC">
        <w:t xml:space="preserve"> der </w:t>
      </w:r>
      <w:r w:rsidR="00242C59">
        <w:t>råder</w:t>
      </w:r>
      <w:r w:rsidR="00351ACC">
        <w:t xml:space="preserve"> over </w:t>
      </w:r>
      <w:r>
        <w:t>DLT-</w:t>
      </w:r>
      <w:r w:rsidR="005E0002">
        <w:t>systemet</w:t>
      </w:r>
      <w:r w:rsidR="007B4ED5">
        <w:t>,</w:t>
      </w:r>
      <w:r w:rsidR="00351ACC">
        <w:t xml:space="preserve"> </w:t>
      </w:r>
      <w:r w:rsidR="00256440">
        <w:t>også r</w:t>
      </w:r>
      <w:r w:rsidR="00242C59">
        <w:t>åde</w:t>
      </w:r>
      <w:r w:rsidR="00256440">
        <w:t>r</w:t>
      </w:r>
      <w:r w:rsidR="00A0706A">
        <w:t xml:space="preserve"> over </w:t>
      </w:r>
      <w:r w:rsidR="00351ACC">
        <w:t xml:space="preserve">udbuddet af </w:t>
      </w:r>
      <w:r w:rsidR="00A0706A">
        <w:t>aktiviteten.</w:t>
      </w:r>
      <w:r>
        <w:t xml:space="preserve"> </w:t>
      </w:r>
    </w:p>
    <w:p w14:paraId="33CCB95C" w14:textId="77777777" w:rsidR="0091243B" w:rsidRDefault="0091243B" w:rsidP="0041342F"/>
    <w:p w14:paraId="3C90B34F" w14:textId="3D5F42D5" w:rsidR="0091243B" w:rsidRDefault="0091243B" w:rsidP="0091243B">
      <w:pPr>
        <w:pStyle w:val="Overskrift3"/>
      </w:pPr>
      <w:r>
        <w:rPr>
          <w:rFonts w:eastAsia="Arial"/>
        </w:rPr>
        <w:t xml:space="preserve">5.2.2.1. </w:t>
      </w:r>
      <w:r w:rsidRPr="00297558">
        <w:rPr>
          <w:rFonts w:eastAsia="Arial"/>
        </w:rPr>
        <w:t xml:space="preserve">Distribution versus </w:t>
      </w:r>
      <w:proofErr w:type="spellStart"/>
      <w:r w:rsidRPr="00297558">
        <w:rPr>
          <w:rFonts w:eastAsia="Arial"/>
        </w:rPr>
        <w:t>decentralitet</w:t>
      </w:r>
      <w:proofErr w:type="spellEnd"/>
    </w:p>
    <w:p w14:paraId="65E52D44" w14:textId="56A32CD8" w:rsidR="0041342F" w:rsidRDefault="0091243B" w:rsidP="0041342F">
      <w:pPr>
        <w:rPr>
          <w:iCs/>
        </w:rPr>
      </w:pPr>
      <w:r>
        <w:rPr>
          <w:iCs/>
        </w:rPr>
        <w:t xml:space="preserve">Definitionen på et DLT-system i </w:t>
      </w:r>
      <w:proofErr w:type="spellStart"/>
      <w:r>
        <w:rPr>
          <w:iCs/>
        </w:rPr>
        <w:t>MiCA</w:t>
      </w:r>
      <w:proofErr w:type="spellEnd"/>
      <w:r>
        <w:rPr>
          <w:iCs/>
        </w:rPr>
        <w:t xml:space="preserve"> indebærer ikke, at systemet udbydes og driftes på tværs af uafhængige tredjeparter – selvom det ellers er udgangspunktet for den </w:t>
      </w:r>
      <w:r>
        <w:rPr>
          <w:iCs/>
        </w:rPr>
        <w:lastRenderedPageBreak/>
        <w:t xml:space="preserve">konventionelle blockchain. Ét </w:t>
      </w:r>
      <w:proofErr w:type="spellStart"/>
      <w:r>
        <w:rPr>
          <w:iCs/>
        </w:rPr>
        <w:t>retssubjekt</w:t>
      </w:r>
      <w:proofErr w:type="spellEnd"/>
      <w:r>
        <w:rPr>
          <w:iCs/>
        </w:rPr>
        <w:t xml:space="preserve"> kan godt drive en distribueret hovedbog på tværs af flere </w:t>
      </w:r>
      <w:proofErr w:type="spellStart"/>
      <w:r>
        <w:rPr>
          <w:iCs/>
        </w:rPr>
        <w:t>netknudepunkter</w:t>
      </w:r>
      <w:proofErr w:type="spellEnd"/>
      <w:r>
        <w:rPr>
          <w:iCs/>
        </w:rPr>
        <w:t xml:space="preserve">, der er placeret på forskellige lokationer, men hvor </w:t>
      </w:r>
      <w:proofErr w:type="spellStart"/>
      <w:r>
        <w:rPr>
          <w:iCs/>
        </w:rPr>
        <w:t>retssubjektet</w:t>
      </w:r>
      <w:proofErr w:type="spellEnd"/>
      <w:r>
        <w:rPr>
          <w:iCs/>
        </w:rPr>
        <w:t xml:space="preserve"> fortsat råder over dem alle. Netop dette forhold understreger, hvorfor det er afgørende at sondre mellem distribution og </w:t>
      </w:r>
      <w:proofErr w:type="spellStart"/>
      <w:r>
        <w:rPr>
          <w:iCs/>
        </w:rPr>
        <w:t>decentralitet</w:t>
      </w:r>
      <w:proofErr w:type="spellEnd"/>
      <w:r>
        <w:rPr>
          <w:iCs/>
        </w:rPr>
        <w:t xml:space="preserve">. </w:t>
      </w:r>
    </w:p>
    <w:p w14:paraId="472263BE" w14:textId="224E8B42" w:rsidR="0091243B" w:rsidRDefault="00F71F99" w:rsidP="0041342F">
      <w:r>
        <w:rPr>
          <w:noProof/>
        </w:rPr>
        <mc:AlternateContent>
          <mc:Choice Requires="wps">
            <w:drawing>
              <wp:anchor distT="0" distB="0" distL="114300" distR="114300" simplePos="0" relativeHeight="251663360" behindDoc="0" locked="0" layoutInCell="1" allowOverlap="1" wp14:anchorId="5DCD7E9E" wp14:editId="13042D67">
                <wp:simplePos x="0" y="0"/>
                <wp:positionH relativeFrom="column">
                  <wp:posOffset>227330</wp:posOffset>
                </wp:positionH>
                <wp:positionV relativeFrom="paragraph">
                  <wp:posOffset>170180</wp:posOffset>
                </wp:positionV>
                <wp:extent cx="4860290" cy="899795"/>
                <wp:effectExtent l="0" t="0" r="0" b="0"/>
                <wp:wrapNone/>
                <wp:docPr id="798264353" name="Rektangel: afrundede hjørn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899795"/>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5F331B10" w14:textId="11D61AED" w:rsidR="0041342F" w:rsidRPr="00645438" w:rsidRDefault="00256440" w:rsidP="0041342F">
                            <w:pPr>
                              <w:spacing w:line="279" w:lineRule="auto"/>
                              <w:textDirection w:val="btLr"/>
                              <w:rPr>
                                <w:rFonts w:eastAsia="Arial" w:cs="Arial"/>
                                <w:i/>
                                <w:iCs/>
                                <w:color w:val="000000"/>
                                <w:szCs w:val="21"/>
                              </w:rPr>
                            </w:pPr>
                            <w:r>
                              <w:rPr>
                                <w:rFonts w:eastAsia="Arial" w:cs="Arial"/>
                                <w:i/>
                                <w:iCs/>
                                <w:color w:val="000000"/>
                                <w:szCs w:val="21"/>
                              </w:rPr>
                              <w:t>Finanstilsynet vurderer</w:t>
                            </w:r>
                            <w:r w:rsidR="0041342F" w:rsidRPr="00297558">
                              <w:rPr>
                                <w:rFonts w:eastAsia="Arial" w:cs="Arial"/>
                                <w:i/>
                                <w:iCs/>
                                <w:color w:val="000000"/>
                                <w:szCs w:val="21"/>
                              </w:rPr>
                              <w:t xml:space="preserve">, om driften af </w:t>
                            </w:r>
                            <w:proofErr w:type="spellStart"/>
                            <w:r w:rsidR="0041342F" w:rsidRPr="00297558">
                              <w:rPr>
                                <w:rFonts w:eastAsia="Arial" w:cs="Arial"/>
                                <w:i/>
                                <w:iCs/>
                                <w:color w:val="000000"/>
                                <w:szCs w:val="21"/>
                              </w:rPr>
                              <w:t>netknudepunkterne</w:t>
                            </w:r>
                            <w:proofErr w:type="spellEnd"/>
                            <w:r w:rsidR="0041342F" w:rsidRPr="00297558">
                              <w:rPr>
                                <w:rFonts w:eastAsia="Arial" w:cs="Arial"/>
                                <w:i/>
                                <w:iCs/>
                                <w:color w:val="000000"/>
                                <w:szCs w:val="21"/>
                              </w:rPr>
                              <w:t xml:space="preserve"> i e</w:t>
                            </w:r>
                            <w:r w:rsidR="00FF267E">
                              <w:rPr>
                                <w:rFonts w:eastAsia="Arial" w:cs="Arial"/>
                                <w:i/>
                                <w:iCs/>
                                <w:color w:val="000000"/>
                                <w:szCs w:val="21"/>
                              </w:rPr>
                              <w:t>t</w:t>
                            </w:r>
                            <w:r w:rsidR="0041342F" w:rsidRPr="00297558">
                              <w:rPr>
                                <w:rFonts w:eastAsia="Arial" w:cs="Arial"/>
                                <w:i/>
                                <w:iCs/>
                                <w:color w:val="000000"/>
                                <w:szCs w:val="21"/>
                              </w:rPr>
                              <w:t xml:space="preserve"> DLT-</w:t>
                            </w:r>
                            <w:r w:rsidR="00FF267E">
                              <w:rPr>
                                <w:rFonts w:eastAsia="Arial" w:cs="Arial"/>
                                <w:i/>
                                <w:iCs/>
                                <w:color w:val="000000"/>
                                <w:szCs w:val="21"/>
                              </w:rPr>
                              <w:t>system</w:t>
                            </w:r>
                            <w:r w:rsidR="0041342F" w:rsidRPr="00297558">
                              <w:rPr>
                                <w:rFonts w:eastAsia="Arial" w:cs="Arial"/>
                                <w:i/>
                                <w:iCs/>
                                <w:color w:val="000000"/>
                                <w:szCs w:val="21"/>
                              </w:rPr>
                              <w:t xml:space="preserve"> i praksis sker decentralt. </w:t>
                            </w:r>
                            <w:r w:rsidR="00AD3F8C">
                              <w:rPr>
                                <w:rFonts w:eastAsia="Arial" w:cs="Arial"/>
                                <w:i/>
                                <w:iCs/>
                                <w:color w:val="000000"/>
                                <w:szCs w:val="21"/>
                              </w:rPr>
                              <w:t>Hvis</w:t>
                            </w:r>
                            <w:r w:rsidR="00FF267E">
                              <w:rPr>
                                <w:rFonts w:eastAsia="Arial" w:cs="Arial"/>
                                <w:i/>
                                <w:iCs/>
                                <w:color w:val="000000"/>
                                <w:szCs w:val="21"/>
                              </w:rPr>
                              <w:t xml:space="preserve"> </w:t>
                            </w:r>
                            <w:r w:rsidR="003E6FF6">
                              <w:rPr>
                                <w:rFonts w:eastAsia="Arial" w:cs="Arial"/>
                                <w:i/>
                                <w:iCs/>
                                <w:color w:val="000000"/>
                                <w:szCs w:val="21"/>
                              </w:rPr>
                              <w:t>DLT-</w:t>
                            </w:r>
                            <w:r w:rsidR="00FF267E">
                              <w:rPr>
                                <w:rFonts w:eastAsia="Arial" w:cs="Arial"/>
                                <w:i/>
                                <w:iCs/>
                                <w:color w:val="000000"/>
                                <w:szCs w:val="21"/>
                              </w:rPr>
                              <w:t xml:space="preserve">systemet </w:t>
                            </w:r>
                            <w:r w:rsidR="003E6FF6">
                              <w:rPr>
                                <w:rFonts w:eastAsia="Arial" w:cs="Arial"/>
                                <w:i/>
                                <w:iCs/>
                                <w:color w:val="000000"/>
                                <w:szCs w:val="21"/>
                              </w:rPr>
                              <w:t xml:space="preserve">ikke </w:t>
                            </w:r>
                            <w:r w:rsidR="00AD3F8C">
                              <w:rPr>
                                <w:rFonts w:eastAsia="Arial" w:cs="Arial"/>
                                <w:i/>
                                <w:iCs/>
                                <w:color w:val="000000"/>
                                <w:szCs w:val="21"/>
                              </w:rPr>
                              <w:t xml:space="preserve">er udbudt </w:t>
                            </w:r>
                            <w:r w:rsidR="003E6FF6">
                              <w:rPr>
                                <w:rFonts w:eastAsia="Arial" w:cs="Arial"/>
                                <w:i/>
                                <w:iCs/>
                                <w:color w:val="000000"/>
                                <w:szCs w:val="21"/>
                              </w:rPr>
                              <w:t>decentral</w:t>
                            </w:r>
                            <w:r w:rsidR="00FF267E">
                              <w:rPr>
                                <w:rFonts w:eastAsia="Arial" w:cs="Arial"/>
                                <w:i/>
                                <w:iCs/>
                                <w:color w:val="000000"/>
                                <w:szCs w:val="21"/>
                              </w:rPr>
                              <w:t>t</w:t>
                            </w:r>
                            <w:r w:rsidR="00F34F1C">
                              <w:rPr>
                                <w:rFonts w:eastAsia="Arial" w:cs="Arial"/>
                                <w:i/>
                                <w:iCs/>
                                <w:color w:val="000000"/>
                                <w:szCs w:val="21"/>
                              </w:rPr>
                              <w:t>,</w:t>
                            </w:r>
                            <w:r w:rsidR="003E6FF6">
                              <w:rPr>
                                <w:rFonts w:eastAsia="Arial" w:cs="Arial"/>
                                <w:i/>
                                <w:iCs/>
                                <w:color w:val="000000"/>
                                <w:szCs w:val="21"/>
                              </w:rPr>
                              <w:t xml:space="preserve"> </w:t>
                            </w:r>
                            <w:r w:rsidR="004A364D">
                              <w:rPr>
                                <w:rFonts w:eastAsia="Arial" w:cs="Arial"/>
                                <w:i/>
                                <w:iCs/>
                                <w:color w:val="000000"/>
                                <w:szCs w:val="21"/>
                              </w:rPr>
                              <w:t>vurderes det</w:t>
                            </w:r>
                            <w:r w:rsidR="00E450CC">
                              <w:rPr>
                                <w:rFonts w:eastAsia="Arial" w:cs="Arial"/>
                                <w:i/>
                                <w:iCs/>
                                <w:color w:val="000000"/>
                                <w:szCs w:val="21"/>
                              </w:rPr>
                              <w:t>,</w:t>
                            </w:r>
                            <w:r w:rsidR="004A364D">
                              <w:rPr>
                                <w:rFonts w:eastAsia="Arial" w:cs="Arial"/>
                                <w:i/>
                                <w:iCs/>
                                <w:color w:val="000000"/>
                                <w:szCs w:val="21"/>
                              </w:rPr>
                              <w:t xml:space="preserve"> om </w:t>
                            </w:r>
                            <w:r w:rsidR="003E6FF6">
                              <w:rPr>
                                <w:rFonts w:eastAsia="Arial" w:cs="Arial"/>
                                <w:i/>
                                <w:iCs/>
                                <w:color w:val="000000"/>
                                <w:szCs w:val="21"/>
                              </w:rPr>
                              <w:t>udbyderen</w:t>
                            </w:r>
                            <w:r w:rsidR="004A364D">
                              <w:rPr>
                                <w:rFonts w:eastAsia="Arial" w:cs="Arial"/>
                                <w:i/>
                                <w:iCs/>
                                <w:color w:val="000000"/>
                                <w:szCs w:val="21"/>
                              </w:rPr>
                              <w:t xml:space="preserve"> </w:t>
                            </w:r>
                            <w:r w:rsidR="00E450CC">
                              <w:rPr>
                                <w:rFonts w:eastAsia="Arial" w:cs="Arial"/>
                                <w:i/>
                                <w:iCs/>
                                <w:color w:val="000000"/>
                                <w:szCs w:val="21"/>
                              </w:rPr>
                              <w:t>e</w:t>
                            </w:r>
                            <w:r w:rsidR="004A364D">
                              <w:rPr>
                                <w:rFonts w:eastAsia="Arial" w:cs="Arial"/>
                                <w:i/>
                                <w:iCs/>
                                <w:color w:val="000000"/>
                                <w:szCs w:val="21"/>
                              </w:rPr>
                              <w:t xml:space="preserve">r </w:t>
                            </w:r>
                            <w:r w:rsidR="00CB7694">
                              <w:rPr>
                                <w:rFonts w:eastAsia="Arial" w:cs="Arial"/>
                                <w:i/>
                                <w:iCs/>
                                <w:color w:val="000000"/>
                                <w:szCs w:val="21"/>
                              </w:rPr>
                              <w:t>forpligt</w:t>
                            </w:r>
                            <w:r w:rsidR="00E450CC">
                              <w:rPr>
                                <w:rFonts w:eastAsia="Arial" w:cs="Arial"/>
                                <w:i/>
                                <w:iCs/>
                                <w:color w:val="000000"/>
                                <w:szCs w:val="21"/>
                              </w:rPr>
                              <w:t>et</w:t>
                            </w:r>
                            <w:r w:rsidR="00CB7694">
                              <w:rPr>
                                <w:rFonts w:eastAsia="Arial" w:cs="Arial"/>
                                <w:i/>
                                <w:iCs/>
                                <w:color w:val="000000"/>
                                <w:szCs w:val="21"/>
                              </w:rPr>
                              <w:t xml:space="preserve"> efter </w:t>
                            </w:r>
                            <w:proofErr w:type="spellStart"/>
                            <w:r w:rsidR="00CB7694">
                              <w:rPr>
                                <w:rFonts w:eastAsia="Arial" w:cs="Arial"/>
                                <w:i/>
                                <w:iCs/>
                                <w:color w:val="000000"/>
                                <w:szCs w:val="21"/>
                              </w:rPr>
                              <w:t>MiCA</w:t>
                            </w:r>
                            <w:proofErr w:type="spellEnd"/>
                            <w:r w:rsidR="003E6FF6">
                              <w:rPr>
                                <w:rFonts w:eastAsia="Arial" w:cs="Arial"/>
                                <w:i/>
                                <w:iCs/>
                                <w:color w:val="000000"/>
                                <w:szCs w:val="21"/>
                              </w:rPr>
                              <w:t xml:space="preserve"> i forhold</w:t>
                            </w:r>
                            <w:r w:rsidR="0083496C">
                              <w:rPr>
                                <w:rFonts w:eastAsia="Arial" w:cs="Arial"/>
                                <w:i/>
                                <w:iCs/>
                                <w:color w:val="000000"/>
                                <w:szCs w:val="21"/>
                              </w:rPr>
                              <w:t xml:space="preserve"> til</w:t>
                            </w:r>
                            <w:r w:rsidR="00FE269F">
                              <w:rPr>
                                <w:rFonts w:eastAsia="Arial" w:cs="Arial"/>
                                <w:i/>
                                <w:iCs/>
                                <w:color w:val="000000"/>
                                <w:szCs w:val="21"/>
                              </w:rPr>
                              <w:t xml:space="preserve"> de </w:t>
                            </w:r>
                            <w:r w:rsidR="003E6FF6">
                              <w:rPr>
                                <w:rFonts w:eastAsia="Arial" w:cs="Arial"/>
                                <w:i/>
                                <w:iCs/>
                                <w:color w:val="000000"/>
                                <w:szCs w:val="21"/>
                              </w:rPr>
                              <w:t xml:space="preserve">regulerede aktiviteter, der kan tilgås i </w:t>
                            </w:r>
                            <w:r w:rsidR="004A364D">
                              <w:rPr>
                                <w:rFonts w:eastAsia="Arial" w:cs="Arial"/>
                                <w:i/>
                                <w:iCs/>
                                <w:color w:val="000000"/>
                                <w:szCs w:val="21"/>
                              </w:rPr>
                              <w:t>systemet</w:t>
                            </w:r>
                            <w:r w:rsidR="003E6FF6">
                              <w:rPr>
                                <w:rFonts w:eastAsia="Arial" w:cs="Arial"/>
                                <w:i/>
                                <w:iCs/>
                                <w:color w:val="000000"/>
                                <w:szCs w:val="21"/>
                              </w:rPr>
                              <w:t>.</w:t>
                            </w:r>
                          </w:p>
                          <w:p w14:paraId="46A214B8" w14:textId="77777777" w:rsidR="0041342F" w:rsidRPr="00297558" w:rsidRDefault="0041342F" w:rsidP="0041342F">
                            <w:pPr>
                              <w:spacing w:line="279" w:lineRule="auto"/>
                              <w:textDirection w:val="btLr"/>
                              <w:rPr>
                                <w:i/>
                                <w:iCs/>
                                <w:szCs w:val="21"/>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DCD7E9E" id="Rektangel: afrundede hjørner 6" o:spid="_x0000_s1032" style="position:absolute;left:0;text-align:left;margin-left:17.9pt;margin-top:13.4pt;width:382.7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" fillcolor="#f2f2f2">
                <v:stroke startarrowwidth="narrow" startarrowlength="short" endarrowwidth="narrow" endarrowlength="short"/>
                <v:textbox inset="2.53958mm,1.2694mm,2.53958mm,1.2694mm">
                  <w:txbxContent>
                    <w:p w14:paraId="5F331B10" w14:textId="11D61AED" w:rsidR="0041342F" w:rsidRPr="00645438" w:rsidRDefault="00256440" w:rsidP="0041342F">
                      <w:pPr>
                        <w:spacing w:line="279" w:lineRule="auto"/>
                        <w:textDirection w:val="btLr"/>
                        <w:rPr>
                          <w:rFonts w:eastAsia="Arial" w:cs="Arial"/>
                          <w:i/>
                          <w:iCs/>
                          <w:color w:val="000000"/>
                          <w:szCs w:val="21"/>
                        </w:rPr>
                      </w:pPr>
                      <w:r>
                        <w:rPr>
                          <w:rFonts w:eastAsia="Arial" w:cs="Arial"/>
                          <w:i/>
                          <w:iCs/>
                          <w:color w:val="000000"/>
                          <w:szCs w:val="21"/>
                        </w:rPr>
                        <w:t>Finanstilsynet vurderer</w:t>
                      </w:r>
                      <w:r w:rsidR="0041342F" w:rsidRPr="00297558">
                        <w:rPr>
                          <w:rFonts w:eastAsia="Arial" w:cs="Arial"/>
                          <w:i/>
                          <w:iCs/>
                          <w:color w:val="000000"/>
                          <w:szCs w:val="21"/>
                        </w:rPr>
                        <w:t>, om driften af netknudepunkterne i e</w:t>
                      </w:r>
                      <w:r w:rsidR="00FF267E">
                        <w:rPr>
                          <w:rFonts w:eastAsia="Arial" w:cs="Arial"/>
                          <w:i/>
                          <w:iCs/>
                          <w:color w:val="000000"/>
                          <w:szCs w:val="21"/>
                        </w:rPr>
                        <w:t>t</w:t>
                      </w:r>
                      <w:r w:rsidR="0041342F" w:rsidRPr="00297558">
                        <w:rPr>
                          <w:rFonts w:eastAsia="Arial" w:cs="Arial"/>
                          <w:i/>
                          <w:iCs/>
                          <w:color w:val="000000"/>
                          <w:szCs w:val="21"/>
                        </w:rPr>
                        <w:t xml:space="preserve"> DLT-</w:t>
                      </w:r>
                      <w:r w:rsidR="00FF267E">
                        <w:rPr>
                          <w:rFonts w:eastAsia="Arial" w:cs="Arial"/>
                          <w:i/>
                          <w:iCs/>
                          <w:color w:val="000000"/>
                          <w:szCs w:val="21"/>
                        </w:rPr>
                        <w:t>system</w:t>
                      </w:r>
                      <w:r w:rsidR="0041342F" w:rsidRPr="00297558">
                        <w:rPr>
                          <w:rFonts w:eastAsia="Arial" w:cs="Arial"/>
                          <w:i/>
                          <w:iCs/>
                          <w:color w:val="000000"/>
                          <w:szCs w:val="21"/>
                        </w:rPr>
                        <w:t xml:space="preserve"> i praksis sker decentralt. </w:t>
                      </w:r>
                      <w:r w:rsidR="00AD3F8C">
                        <w:rPr>
                          <w:rFonts w:eastAsia="Arial" w:cs="Arial"/>
                          <w:i/>
                          <w:iCs/>
                          <w:color w:val="000000"/>
                          <w:szCs w:val="21"/>
                        </w:rPr>
                        <w:t>Hvis</w:t>
                      </w:r>
                      <w:r w:rsidR="00FF267E">
                        <w:rPr>
                          <w:rFonts w:eastAsia="Arial" w:cs="Arial"/>
                          <w:i/>
                          <w:iCs/>
                          <w:color w:val="000000"/>
                          <w:szCs w:val="21"/>
                        </w:rPr>
                        <w:t xml:space="preserve"> </w:t>
                      </w:r>
                      <w:r w:rsidR="003E6FF6">
                        <w:rPr>
                          <w:rFonts w:eastAsia="Arial" w:cs="Arial"/>
                          <w:i/>
                          <w:iCs/>
                          <w:color w:val="000000"/>
                          <w:szCs w:val="21"/>
                        </w:rPr>
                        <w:t>DLT-</w:t>
                      </w:r>
                      <w:r w:rsidR="00FF267E">
                        <w:rPr>
                          <w:rFonts w:eastAsia="Arial" w:cs="Arial"/>
                          <w:i/>
                          <w:iCs/>
                          <w:color w:val="000000"/>
                          <w:szCs w:val="21"/>
                        </w:rPr>
                        <w:t xml:space="preserve">systemet </w:t>
                      </w:r>
                      <w:r w:rsidR="003E6FF6">
                        <w:rPr>
                          <w:rFonts w:eastAsia="Arial" w:cs="Arial"/>
                          <w:i/>
                          <w:iCs/>
                          <w:color w:val="000000"/>
                          <w:szCs w:val="21"/>
                        </w:rPr>
                        <w:t xml:space="preserve">ikke </w:t>
                      </w:r>
                      <w:r w:rsidR="00AD3F8C">
                        <w:rPr>
                          <w:rFonts w:eastAsia="Arial" w:cs="Arial"/>
                          <w:i/>
                          <w:iCs/>
                          <w:color w:val="000000"/>
                          <w:szCs w:val="21"/>
                        </w:rPr>
                        <w:t xml:space="preserve">er udbudt </w:t>
                      </w:r>
                      <w:r w:rsidR="003E6FF6">
                        <w:rPr>
                          <w:rFonts w:eastAsia="Arial" w:cs="Arial"/>
                          <w:i/>
                          <w:iCs/>
                          <w:color w:val="000000"/>
                          <w:szCs w:val="21"/>
                        </w:rPr>
                        <w:t>decentral</w:t>
                      </w:r>
                      <w:r w:rsidR="00FF267E">
                        <w:rPr>
                          <w:rFonts w:eastAsia="Arial" w:cs="Arial"/>
                          <w:i/>
                          <w:iCs/>
                          <w:color w:val="000000"/>
                          <w:szCs w:val="21"/>
                        </w:rPr>
                        <w:t>t</w:t>
                      </w:r>
                      <w:r w:rsidR="00F34F1C">
                        <w:rPr>
                          <w:rFonts w:eastAsia="Arial" w:cs="Arial"/>
                          <w:i/>
                          <w:iCs/>
                          <w:color w:val="000000"/>
                          <w:szCs w:val="21"/>
                        </w:rPr>
                        <w:t>,</w:t>
                      </w:r>
                      <w:r w:rsidR="003E6FF6">
                        <w:rPr>
                          <w:rFonts w:eastAsia="Arial" w:cs="Arial"/>
                          <w:i/>
                          <w:iCs/>
                          <w:color w:val="000000"/>
                          <w:szCs w:val="21"/>
                        </w:rPr>
                        <w:t xml:space="preserve"> </w:t>
                      </w:r>
                      <w:r w:rsidR="004A364D">
                        <w:rPr>
                          <w:rFonts w:eastAsia="Arial" w:cs="Arial"/>
                          <w:i/>
                          <w:iCs/>
                          <w:color w:val="000000"/>
                          <w:szCs w:val="21"/>
                        </w:rPr>
                        <w:t>vurderes det</w:t>
                      </w:r>
                      <w:r w:rsidR="00E450CC">
                        <w:rPr>
                          <w:rFonts w:eastAsia="Arial" w:cs="Arial"/>
                          <w:i/>
                          <w:iCs/>
                          <w:color w:val="000000"/>
                          <w:szCs w:val="21"/>
                        </w:rPr>
                        <w:t>,</w:t>
                      </w:r>
                      <w:r w:rsidR="004A364D">
                        <w:rPr>
                          <w:rFonts w:eastAsia="Arial" w:cs="Arial"/>
                          <w:i/>
                          <w:iCs/>
                          <w:color w:val="000000"/>
                          <w:szCs w:val="21"/>
                        </w:rPr>
                        <w:t xml:space="preserve"> om </w:t>
                      </w:r>
                      <w:r w:rsidR="003E6FF6">
                        <w:rPr>
                          <w:rFonts w:eastAsia="Arial" w:cs="Arial"/>
                          <w:i/>
                          <w:iCs/>
                          <w:color w:val="000000"/>
                          <w:szCs w:val="21"/>
                        </w:rPr>
                        <w:t>udbyderen</w:t>
                      </w:r>
                      <w:r w:rsidR="004A364D">
                        <w:rPr>
                          <w:rFonts w:eastAsia="Arial" w:cs="Arial"/>
                          <w:i/>
                          <w:iCs/>
                          <w:color w:val="000000"/>
                          <w:szCs w:val="21"/>
                        </w:rPr>
                        <w:t xml:space="preserve"> </w:t>
                      </w:r>
                      <w:r w:rsidR="00E450CC">
                        <w:rPr>
                          <w:rFonts w:eastAsia="Arial" w:cs="Arial"/>
                          <w:i/>
                          <w:iCs/>
                          <w:color w:val="000000"/>
                          <w:szCs w:val="21"/>
                        </w:rPr>
                        <w:t>e</w:t>
                      </w:r>
                      <w:r w:rsidR="004A364D">
                        <w:rPr>
                          <w:rFonts w:eastAsia="Arial" w:cs="Arial"/>
                          <w:i/>
                          <w:iCs/>
                          <w:color w:val="000000"/>
                          <w:szCs w:val="21"/>
                        </w:rPr>
                        <w:t xml:space="preserve">r </w:t>
                      </w:r>
                      <w:r w:rsidR="00CB7694">
                        <w:rPr>
                          <w:rFonts w:eastAsia="Arial" w:cs="Arial"/>
                          <w:i/>
                          <w:iCs/>
                          <w:color w:val="000000"/>
                          <w:szCs w:val="21"/>
                        </w:rPr>
                        <w:t>forpligt</w:t>
                      </w:r>
                      <w:r w:rsidR="00E450CC">
                        <w:rPr>
                          <w:rFonts w:eastAsia="Arial" w:cs="Arial"/>
                          <w:i/>
                          <w:iCs/>
                          <w:color w:val="000000"/>
                          <w:szCs w:val="21"/>
                        </w:rPr>
                        <w:t>et</w:t>
                      </w:r>
                      <w:r w:rsidR="00CB7694">
                        <w:rPr>
                          <w:rFonts w:eastAsia="Arial" w:cs="Arial"/>
                          <w:i/>
                          <w:iCs/>
                          <w:color w:val="000000"/>
                          <w:szCs w:val="21"/>
                        </w:rPr>
                        <w:t xml:space="preserve"> efter MiCA</w:t>
                      </w:r>
                      <w:r w:rsidR="003E6FF6">
                        <w:rPr>
                          <w:rFonts w:eastAsia="Arial" w:cs="Arial"/>
                          <w:i/>
                          <w:iCs/>
                          <w:color w:val="000000"/>
                          <w:szCs w:val="21"/>
                        </w:rPr>
                        <w:t xml:space="preserve"> i forhold</w:t>
                      </w:r>
                      <w:r w:rsidR="0083496C">
                        <w:rPr>
                          <w:rFonts w:eastAsia="Arial" w:cs="Arial"/>
                          <w:i/>
                          <w:iCs/>
                          <w:color w:val="000000"/>
                          <w:szCs w:val="21"/>
                        </w:rPr>
                        <w:t xml:space="preserve"> til</w:t>
                      </w:r>
                      <w:r w:rsidR="00FE269F">
                        <w:rPr>
                          <w:rFonts w:eastAsia="Arial" w:cs="Arial"/>
                          <w:i/>
                          <w:iCs/>
                          <w:color w:val="000000"/>
                          <w:szCs w:val="21"/>
                        </w:rPr>
                        <w:t xml:space="preserve"> de </w:t>
                      </w:r>
                      <w:r w:rsidR="003E6FF6">
                        <w:rPr>
                          <w:rFonts w:eastAsia="Arial" w:cs="Arial"/>
                          <w:i/>
                          <w:iCs/>
                          <w:color w:val="000000"/>
                          <w:szCs w:val="21"/>
                        </w:rPr>
                        <w:t xml:space="preserve">regulerede aktiviteter, der kan tilgås i </w:t>
                      </w:r>
                      <w:r w:rsidR="004A364D">
                        <w:rPr>
                          <w:rFonts w:eastAsia="Arial" w:cs="Arial"/>
                          <w:i/>
                          <w:iCs/>
                          <w:color w:val="000000"/>
                          <w:szCs w:val="21"/>
                        </w:rPr>
                        <w:t>systemet</w:t>
                      </w:r>
                      <w:r w:rsidR="003E6FF6">
                        <w:rPr>
                          <w:rFonts w:eastAsia="Arial" w:cs="Arial"/>
                          <w:i/>
                          <w:iCs/>
                          <w:color w:val="000000"/>
                          <w:szCs w:val="21"/>
                        </w:rPr>
                        <w:t>.</w:t>
                      </w:r>
                    </w:p>
                    <w:p w14:paraId="46A214B8" w14:textId="77777777" w:rsidR="0041342F" w:rsidRPr="00297558" w:rsidRDefault="0041342F" w:rsidP="0041342F">
                      <w:pPr>
                        <w:spacing w:line="279" w:lineRule="auto"/>
                        <w:textDirection w:val="btLr"/>
                        <w:rPr>
                          <w:i/>
                          <w:iCs/>
                          <w:szCs w:val="21"/>
                        </w:rPr>
                      </w:pPr>
                    </w:p>
                  </w:txbxContent>
                </v:textbox>
              </v:roundrect>
            </w:pict>
          </mc:Fallback>
        </mc:AlternateContent>
      </w:r>
    </w:p>
    <w:p w14:paraId="24066890" w14:textId="55DFE9B4" w:rsidR="0041342F" w:rsidRDefault="0041342F" w:rsidP="0041342F"/>
    <w:p w14:paraId="24E63481" w14:textId="6688248D" w:rsidR="0041342F" w:rsidRDefault="0041342F" w:rsidP="0041342F"/>
    <w:p w14:paraId="2E790AB0" w14:textId="77777777" w:rsidR="0041342F" w:rsidRDefault="0041342F" w:rsidP="0041342F">
      <w:pPr>
        <w:rPr>
          <w:iCs/>
        </w:rPr>
      </w:pPr>
    </w:p>
    <w:p w14:paraId="749BC2E6" w14:textId="77777777" w:rsidR="0041342F" w:rsidRDefault="0041342F" w:rsidP="0041342F">
      <w:pPr>
        <w:rPr>
          <w:iCs/>
        </w:rPr>
      </w:pPr>
    </w:p>
    <w:p w14:paraId="1690DDE7" w14:textId="77777777" w:rsidR="0041342F" w:rsidRDefault="0041342F" w:rsidP="0041342F">
      <w:pPr>
        <w:rPr>
          <w:iCs/>
        </w:rPr>
      </w:pPr>
    </w:p>
    <w:p w14:paraId="4E9DB392" w14:textId="77777777" w:rsidR="0041342F" w:rsidRDefault="0041342F" w:rsidP="0041342F">
      <w:pPr>
        <w:rPr>
          <w:iCs/>
        </w:rPr>
      </w:pPr>
    </w:p>
    <w:p w14:paraId="6258AA23" w14:textId="2DB3927E" w:rsidR="0041342F" w:rsidRDefault="00F30024" w:rsidP="0041342F">
      <w:pPr>
        <w:rPr>
          <w:iCs/>
        </w:rPr>
      </w:pPr>
      <w:r>
        <w:rPr>
          <w:iCs/>
        </w:rPr>
        <w:t xml:space="preserve">Distribution </w:t>
      </w:r>
      <w:r w:rsidR="0041342F">
        <w:rPr>
          <w:iCs/>
        </w:rPr>
        <w:t xml:space="preserve">omfatter distribution på tværs af </w:t>
      </w:r>
      <w:proofErr w:type="spellStart"/>
      <w:r w:rsidR="0041342F">
        <w:rPr>
          <w:iCs/>
        </w:rPr>
        <w:t>netknudepunkter</w:t>
      </w:r>
      <w:proofErr w:type="spellEnd"/>
      <w:r>
        <w:rPr>
          <w:iCs/>
        </w:rPr>
        <w:t xml:space="preserve">. </w:t>
      </w:r>
      <w:proofErr w:type="spellStart"/>
      <w:r>
        <w:rPr>
          <w:iCs/>
        </w:rPr>
        <w:t>D</w:t>
      </w:r>
      <w:r w:rsidR="0041342F">
        <w:rPr>
          <w:iCs/>
        </w:rPr>
        <w:t>ecentralitet</w:t>
      </w:r>
      <w:proofErr w:type="spellEnd"/>
      <w:r w:rsidR="0041342F">
        <w:rPr>
          <w:iCs/>
        </w:rPr>
        <w:t xml:space="preserve"> kan </w:t>
      </w:r>
      <w:r w:rsidR="00C026DD">
        <w:rPr>
          <w:iCs/>
        </w:rPr>
        <w:t xml:space="preserve">kun </w:t>
      </w:r>
      <w:r w:rsidR="0041342F">
        <w:rPr>
          <w:iCs/>
        </w:rPr>
        <w:t xml:space="preserve">forekomme ved distribution på tværs af uafhængige tredjeparter (selvstændige </w:t>
      </w:r>
      <w:proofErr w:type="spellStart"/>
      <w:r w:rsidR="0041342F">
        <w:rPr>
          <w:iCs/>
        </w:rPr>
        <w:t>retssubjekter</w:t>
      </w:r>
      <w:proofErr w:type="spellEnd"/>
      <w:r w:rsidR="0041342F">
        <w:rPr>
          <w:iCs/>
        </w:rPr>
        <w:t xml:space="preserve">), hvor den enkelte tredjepart udelukkende </w:t>
      </w:r>
      <w:r w:rsidR="00242C59">
        <w:rPr>
          <w:iCs/>
        </w:rPr>
        <w:t>råder</w:t>
      </w:r>
      <w:r w:rsidR="0041342F">
        <w:rPr>
          <w:iCs/>
        </w:rPr>
        <w:t xml:space="preserve"> over egne </w:t>
      </w:r>
      <w:proofErr w:type="spellStart"/>
      <w:r w:rsidR="0041342F">
        <w:rPr>
          <w:iCs/>
        </w:rPr>
        <w:t>netknudepunkter</w:t>
      </w:r>
      <w:proofErr w:type="spellEnd"/>
      <w:r w:rsidR="0041342F">
        <w:rPr>
          <w:iCs/>
        </w:rPr>
        <w:t xml:space="preserve"> </w:t>
      </w:r>
      <w:r>
        <w:rPr>
          <w:iCs/>
        </w:rPr>
        <w:t xml:space="preserve">– </w:t>
      </w:r>
      <w:r w:rsidR="0041342F">
        <w:rPr>
          <w:iCs/>
        </w:rPr>
        <w:t xml:space="preserve">og ikke </w:t>
      </w:r>
      <w:r w:rsidR="00505173">
        <w:rPr>
          <w:iCs/>
        </w:rPr>
        <w:t>DLT-</w:t>
      </w:r>
      <w:r w:rsidR="002B387D">
        <w:rPr>
          <w:iCs/>
        </w:rPr>
        <w:t>systemet</w:t>
      </w:r>
      <w:r w:rsidR="0041342F">
        <w:rPr>
          <w:iCs/>
        </w:rPr>
        <w:t xml:space="preserve"> som helhed. </w:t>
      </w:r>
      <w:r w:rsidR="004C0170">
        <w:rPr>
          <w:iCs/>
        </w:rPr>
        <w:t>Distribution</w:t>
      </w:r>
      <w:r w:rsidR="0041342F">
        <w:rPr>
          <w:iCs/>
        </w:rPr>
        <w:t xml:space="preserve"> mellem flere selvstændige </w:t>
      </w:r>
      <w:proofErr w:type="spellStart"/>
      <w:r w:rsidR="0041342F">
        <w:rPr>
          <w:iCs/>
        </w:rPr>
        <w:t>retssubjekter</w:t>
      </w:r>
      <w:proofErr w:type="spellEnd"/>
      <w:r w:rsidR="0041342F">
        <w:rPr>
          <w:iCs/>
        </w:rPr>
        <w:t xml:space="preserve"> er </w:t>
      </w:r>
      <w:r w:rsidR="004B0E38">
        <w:rPr>
          <w:iCs/>
        </w:rPr>
        <w:t xml:space="preserve">desuden </w:t>
      </w:r>
      <w:r w:rsidR="0041342F">
        <w:rPr>
          <w:iCs/>
        </w:rPr>
        <w:t xml:space="preserve">ikke ensbetydende med, at udbuddet er decentralt. </w:t>
      </w:r>
      <w:r>
        <w:rPr>
          <w:iCs/>
        </w:rPr>
        <w:t>Her er det afgørende</w:t>
      </w:r>
      <w:r w:rsidR="0041342F">
        <w:rPr>
          <w:iCs/>
        </w:rPr>
        <w:t xml:space="preserve">, om </w:t>
      </w:r>
      <w:r w:rsidR="00FF079D">
        <w:rPr>
          <w:iCs/>
        </w:rPr>
        <w:t xml:space="preserve">samvirket i praksis kan siges at </w:t>
      </w:r>
      <w:r w:rsidR="00A95241">
        <w:rPr>
          <w:iCs/>
        </w:rPr>
        <w:t>være</w:t>
      </w:r>
      <w:r w:rsidR="00FF079D">
        <w:rPr>
          <w:iCs/>
        </w:rPr>
        <w:t xml:space="preserve"> </w:t>
      </w:r>
      <w:proofErr w:type="spellStart"/>
      <w:r w:rsidR="00FF079D">
        <w:rPr>
          <w:iCs/>
        </w:rPr>
        <w:t>retssubjekt</w:t>
      </w:r>
      <w:proofErr w:type="spellEnd"/>
      <w:r w:rsidR="00FF079D">
        <w:rPr>
          <w:iCs/>
        </w:rPr>
        <w:t xml:space="preserve"> for udbuddet</w:t>
      </w:r>
      <w:r w:rsidR="0041342F">
        <w:rPr>
          <w:iCs/>
        </w:rPr>
        <w:t xml:space="preserve">, jf. afsnit </w:t>
      </w:r>
      <w:r w:rsidR="004B0E38">
        <w:rPr>
          <w:iCs/>
        </w:rPr>
        <w:t>5.3</w:t>
      </w:r>
      <w:r w:rsidR="0041342F">
        <w:rPr>
          <w:iCs/>
        </w:rPr>
        <w:t xml:space="preserve">. </w:t>
      </w:r>
    </w:p>
    <w:p w14:paraId="362D22FD" w14:textId="77777777" w:rsidR="00505173" w:rsidRDefault="00505173" w:rsidP="0041342F">
      <w:pPr>
        <w:rPr>
          <w:iCs/>
        </w:rPr>
      </w:pPr>
    </w:p>
    <w:p w14:paraId="245E6002" w14:textId="7D17F70C" w:rsidR="0041342F" w:rsidRDefault="0041342F" w:rsidP="0041342F">
      <w:pPr>
        <w:rPr>
          <w:iCs/>
        </w:rPr>
      </w:pPr>
      <w:r>
        <w:rPr>
          <w:iCs/>
        </w:rPr>
        <w:t xml:space="preserve">Indretningen af konsensusmekanismen </w:t>
      </w:r>
      <w:r w:rsidR="00A95241">
        <w:rPr>
          <w:iCs/>
        </w:rPr>
        <w:t>indikerer</w:t>
      </w:r>
      <w:r>
        <w:rPr>
          <w:iCs/>
        </w:rPr>
        <w:t xml:space="preserve">, om forudsætningerne for </w:t>
      </w:r>
      <w:proofErr w:type="spellStart"/>
      <w:r>
        <w:rPr>
          <w:iCs/>
        </w:rPr>
        <w:t>decentralitet</w:t>
      </w:r>
      <w:proofErr w:type="spellEnd"/>
      <w:r>
        <w:rPr>
          <w:iCs/>
        </w:rPr>
        <w:t xml:space="preserve"> er til stede. Udbredte konsensusmekanismer for den konventionelle blockchain, som </w:t>
      </w:r>
      <w:proofErr w:type="spellStart"/>
      <w:r w:rsidRPr="00645438">
        <w:rPr>
          <w:iCs/>
        </w:rPr>
        <w:t>Proof</w:t>
      </w:r>
      <w:proofErr w:type="spellEnd"/>
      <w:r w:rsidRPr="00645438">
        <w:rPr>
          <w:iCs/>
        </w:rPr>
        <w:t>-of-Work</w:t>
      </w:r>
      <w:r>
        <w:rPr>
          <w:i/>
        </w:rPr>
        <w:t xml:space="preserve"> </w:t>
      </w:r>
      <w:r w:rsidRPr="004C2FF7">
        <w:rPr>
          <w:iCs/>
        </w:rPr>
        <w:t>(</w:t>
      </w:r>
      <w:proofErr w:type="spellStart"/>
      <w:r w:rsidRPr="004C2FF7">
        <w:rPr>
          <w:iCs/>
        </w:rPr>
        <w:t>PoW</w:t>
      </w:r>
      <w:proofErr w:type="spellEnd"/>
      <w:r w:rsidRPr="004C2FF7">
        <w:rPr>
          <w:iCs/>
        </w:rPr>
        <w:t>)</w:t>
      </w:r>
      <w:r>
        <w:rPr>
          <w:i/>
        </w:rPr>
        <w:t xml:space="preserve"> </w:t>
      </w:r>
      <w:r>
        <w:rPr>
          <w:iCs/>
        </w:rPr>
        <w:t xml:space="preserve">og </w:t>
      </w:r>
      <w:proofErr w:type="spellStart"/>
      <w:r w:rsidRPr="00645438">
        <w:rPr>
          <w:iCs/>
        </w:rPr>
        <w:t>Proof</w:t>
      </w:r>
      <w:proofErr w:type="spellEnd"/>
      <w:r w:rsidRPr="00645438">
        <w:rPr>
          <w:iCs/>
        </w:rPr>
        <w:t>-of-</w:t>
      </w:r>
      <w:proofErr w:type="spellStart"/>
      <w:r w:rsidRPr="00645438">
        <w:rPr>
          <w:iCs/>
        </w:rPr>
        <w:t>Stake</w:t>
      </w:r>
      <w:proofErr w:type="spellEnd"/>
      <w:r>
        <w:rPr>
          <w:i/>
        </w:rPr>
        <w:t xml:space="preserve"> </w:t>
      </w:r>
      <w:r w:rsidRPr="004C2FF7">
        <w:rPr>
          <w:iCs/>
        </w:rPr>
        <w:t>(</w:t>
      </w:r>
      <w:proofErr w:type="spellStart"/>
      <w:r w:rsidRPr="004C2FF7">
        <w:rPr>
          <w:iCs/>
        </w:rPr>
        <w:t>PoS</w:t>
      </w:r>
      <w:proofErr w:type="spellEnd"/>
      <w:r w:rsidRPr="004C2FF7">
        <w:rPr>
          <w:iCs/>
        </w:rPr>
        <w:t>)</w:t>
      </w:r>
      <w:r>
        <w:rPr>
          <w:i/>
        </w:rPr>
        <w:t xml:space="preserve">, </w:t>
      </w:r>
      <w:r>
        <w:rPr>
          <w:iCs/>
        </w:rPr>
        <w:t xml:space="preserve">forudsætter f.eks., at nye blokke kun kan tilføjes til hovedbogen, hvis der </w:t>
      </w:r>
      <w:r w:rsidR="00A95241">
        <w:rPr>
          <w:iCs/>
        </w:rPr>
        <w:t xml:space="preserve">er </w:t>
      </w:r>
      <w:r>
        <w:rPr>
          <w:iCs/>
        </w:rPr>
        <w:t xml:space="preserve">enighed om blokkens validitet på tværs af de deltagende </w:t>
      </w:r>
      <w:proofErr w:type="spellStart"/>
      <w:r>
        <w:rPr>
          <w:iCs/>
        </w:rPr>
        <w:t>netknudepunkter</w:t>
      </w:r>
      <w:proofErr w:type="spellEnd"/>
      <w:r>
        <w:rPr>
          <w:iCs/>
        </w:rPr>
        <w:t xml:space="preserve">. </w:t>
      </w:r>
      <w:r w:rsidR="00A95241">
        <w:rPr>
          <w:iCs/>
        </w:rPr>
        <w:t xml:space="preserve">Det er ikke nødvendigt med samme </w:t>
      </w:r>
      <w:r w:rsidR="00C026DD">
        <w:rPr>
          <w:iCs/>
        </w:rPr>
        <w:t xml:space="preserve">type </w:t>
      </w:r>
      <w:r w:rsidR="00A95241">
        <w:rPr>
          <w:iCs/>
        </w:rPr>
        <w:t>k</w:t>
      </w:r>
      <w:r>
        <w:rPr>
          <w:iCs/>
        </w:rPr>
        <w:t>onsensus</w:t>
      </w:r>
      <w:r w:rsidR="00C026DD">
        <w:rPr>
          <w:iCs/>
        </w:rPr>
        <w:t xml:space="preserve">mekanisme i </w:t>
      </w:r>
      <w:r>
        <w:rPr>
          <w:iCs/>
        </w:rPr>
        <w:t>DLT-</w:t>
      </w:r>
      <w:r w:rsidR="004B0E38">
        <w:rPr>
          <w:iCs/>
        </w:rPr>
        <w:t>systemer</w:t>
      </w:r>
      <w:r>
        <w:rPr>
          <w:iCs/>
        </w:rPr>
        <w:t>, hvor e</w:t>
      </w:r>
      <w:r w:rsidR="004B0E38">
        <w:rPr>
          <w:iCs/>
        </w:rPr>
        <w:t>t</w:t>
      </w:r>
      <w:r>
        <w:rPr>
          <w:iCs/>
        </w:rPr>
        <w:t xml:space="preserve"> eller flere </w:t>
      </w:r>
      <w:proofErr w:type="spellStart"/>
      <w:r w:rsidR="00593668">
        <w:rPr>
          <w:iCs/>
        </w:rPr>
        <w:t>retssubjekter</w:t>
      </w:r>
      <w:proofErr w:type="spellEnd"/>
      <w:r>
        <w:rPr>
          <w:iCs/>
        </w:rPr>
        <w:t xml:space="preserve"> påtager sig ansvaret for udbuddet. Derfor kan centralisere</w:t>
      </w:r>
      <w:r w:rsidR="004B0E38">
        <w:rPr>
          <w:iCs/>
        </w:rPr>
        <w:t>de</w:t>
      </w:r>
      <w:r>
        <w:rPr>
          <w:iCs/>
        </w:rPr>
        <w:t xml:space="preserve"> DLT-</w:t>
      </w:r>
      <w:r w:rsidR="004B0E38">
        <w:rPr>
          <w:iCs/>
        </w:rPr>
        <w:t xml:space="preserve">systemer </w:t>
      </w:r>
      <w:r>
        <w:rPr>
          <w:iCs/>
        </w:rPr>
        <w:t xml:space="preserve">som udgangspunkt </w:t>
      </w:r>
      <w:r w:rsidR="004C4FA0">
        <w:rPr>
          <w:iCs/>
        </w:rPr>
        <w:t>brug</w:t>
      </w:r>
      <w:r>
        <w:rPr>
          <w:iCs/>
        </w:rPr>
        <w:t xml:space="preserve">e konsensusmekanismer, der ikke forudsætter enighed på tværs af alle </w:t>
      </w:r>
      <w:proofErr w:type="spellStart"/>
      <w:r>
        <w:rPr>
          <w:iCs/>
        </w:rPr>
        <w:t>netknudepunkter</w:t>
      </w:r>
      <w:proofErr w:type="spellEnd"/>
      <w:r>
        <w:rPr>
          <w:iCs/>
        </w:rPr>
        <w:t xml:space="preserve">. </w:t>
      </w:r>
    </w:p>
    <w:p w14:paraId="5395F8EE" w14:textId="77777777" w:rsidR="0041342F" w:rsidRDefault="0041342F" w:rsidP="0041342F">
      <w:pPr>
        <w:rPr>
          <w:iCs/>
        </w:rPr>
      </w:pPr>
    </w:p>
    <w:p w14:paraId="3B7B91E3" w14:textId="1D7F9B30" w:rsidR="0041342F" w:rsidRDefault="00E5000E" w:rsidP="0041342F">
      <w:pPr>
        <w:rPr>
          <w:iCs/>
        </w:rPr>
      </w:pPr>
      <w:r>
        <w:rPr>
          <w:iCs/>
        </w:rPr>
        <w:t>Sondringen</w:t>
      </w:r>
      <w:r w:rsidR="0041342F">
        <w:rPr>
          <w:iCs/>
        </w:rPr>
        <w:t xml:space="preserve"> mellem distribuere</w:t>
      </w:r>
      <w:r w:rsidR="007D1540">
        <w:rPr>
          <w:iCs/>
        </w:rPr>
        <w:t>de</w:t>
      </w:r>
      <w:r w:rsidR="00CB7694">
        <w:rPr>
          <w:iCs/>
        </w:rPr>
        <w:t xml:space="preserve"> (centraliserede) </w:t>
      </w:r>
      <w:r w:rsidR="0041342F">
        <w:rPr>
          <w:iCs/>
        </w:rPr>
        <w:t>og decentral</w:t>
      </w:r>
      <w:r w:rsidR="007D1540">
        <w:rPr>
          <w:iCs/>
        </w:rPr>
        <w:t>e</w:t>
      </w:r>
      <w:r w:rsidR="0041342F">
        <w:rPr>
          <w:iCs/>
        </w:rPr>
        <w:t xml:space="preserve"> DLT-</w:t>
      </w:r>
      <w:r w:rsidR="004B0E38">
        <w:rPr>
          <w:iCs/>
        </w:rPr>
        <w:t xml:space="preserve">systemer </w:t>
      </w:r>
      <w:r w:rsidR="00B76942">
        <w:rPr>
          <w:iCs/>
        </w:rPr>
        <w:t>er</w:t>
      </w:r>
      <w:r w:rsidR="0041342F">
        <w:rPr>
          <w:iCs/>
        </w:rPr>
        <w:t xml:space="preserve"> ikke </w:t>
      </w:r>
      <w:r w:rsidR="00A95241">
        <w:rPr>
          <w:iCs/>
        </w:rPr>
        <w:t>i sig selv</w:t>
      </w:r>
      <w:r w:rsidR="00B76942">
        <w:rPr>
          <w:iCs/>
        </w:rPr>
        <w:t xml:space="preserve"> afgørende for </w:t>
      </w:r>
      <w:r w:rsidR="0041342F">
        <w:rPr>
          <w:iCs/>
        </w:rPr>
        <w:t>vurderingen af</w:t>
      </w:r>
      <w:r w:rsidR="00EE2600">
        <w:rPr>
          <w:iCs/>
        </w:rPr>
        <w:t xml:space="preserve">, </w:t>
      </w:r>
      <w:r w:rsidR="0041342F">
        <w:rPr>
          <w:iCs/>
        </w:rPr>
        <w:t xml:space="preserve">om </w:t>
      </w:r>
      <w:proofErr w:type="spellStart"/>
      <w:r w:rsidR="00EE2600">
        <w:rPr>
          <w:iCs/>
        </w:rPr>
        <w:t>retssubjekt</w:t>
      </w:r>
      <w:r w:rsidR="00B76942">
        <w:rPr>
          <w:iCs/>
        </w:rPr>
        <w:t>et</w:t>
      </w:r>
      <w:proofErr w:type="spellEnd"/>
      <w:r w:rsidR="00EE2600">
        <w:rPr>
          <w:iCs/>
        </w:rPr>
        <w:t xml:space="preserve"> bag </w:t>
      </w:r>
      <w:r w:rsidR="00B76942">
        <w:rPr>
          <w:iCs/>
        </w:rPr>
        <w:t>e</w:t>
      </w:r>
      <w:r w:rsidR="004B0E38">
        <w:rPr>
          <w:iCs/>
        </w:rPr>
        <w:t>t</w:t>
      </w:r>
      <w:r w:rsidR="00B33148">
        <w:rPr>
          <w:iCs/>
        </w:rPr>
        <w:t xml:space="preserve"> </w:t>
      </w:r>
      <w:r w:rsidR="00CB7694">
        <w:rPr>
          <w:iCs/>
        </w:rPr>
        <w:t xml:space="preserve">centraliseret </w:t>
      </w:r>
      <w:r w:rsidR="004B0E38">
        <w:rPr>
          <w:iCs/>
        </w:rPr>
        <w:t xml:space="preserve">system </w:t>
      </w:r>
      <w:r w:rsidR="0041342F">
        <w:rPr>
          <w:iCs/>
        </w:rPr>
        <w:t xml:space="preserve">selvstændigt kan siges at </w:t>
      </w:r>
      <w:r w:rsidR="00242C59">
        <w:rPr>
          <w:iCs/>
        </w:rPr>
        <w:t>råde</w:t>
      </w:r>
      <w:r w:rsidR="0041342F">
        <w:rPr>
          <w:iCs/>
        </w:rPr>
        <w:t xml:space="preserve"> over </w:t>
      </w:r>
      <w:r w:rsidR="004C4FA0">
        <w:rPr>
          <w:iCs/>
        </w:rPr>
        <w:t xml:space="preserve">de </w:t>
      </w:r>
      <w:r w:rsidR="0041342F">
        <w:rPr>
          <w:iCs/>
        </w:rPr>
        <w:t xml:space="preserve">regulerede aktiviteter i </w:t>
      </w:r>
      <w:r w:rsidR="004B0E38">
        <w:rPr>
          <w:iCs/>
        </w:rPr>
        <w:t>systemet</w:t>
      </w:r>
      <w:r w:rsidR="0041342F">
        <w:rPr>
          <w:iCs/>
        </w:rPr>
        <w:t>.</w:t>
      </w:r>
      <w:r w:rsidR="00B76942">
        <w:rPr>
          <w:iCs/>
        </w:rPr>
        <w:t xml:space="preserve"> </w:t>
      </w:r>
      <w:r w:rsidR="00AD3F8C">
        <w:rPr>
          <w:iCs/>
        </w:rPr>
        <w:t xml:space="preserve">Ansvaret og </w:t>
      </w:r>
      <w:r w:rsidR="00B76942">
        <w:rPr>
          <w:iCs/>
        </w:rPr>
        <w:t>pligter</w:t>
      </w:r>
      <w:r w:rsidR="00AD3F8C">
        <w:rPr>
          <w:iCs/>
        </w:rPr>
        <w:t>ne</w:t>
      </w:r>
      <w:r w:rsidR="00B76942">
        <w:rPr>
          <w:iCs/>
        </w:rPr>
        <w:t xml:space="preserve"> i</w:t>
      </w:r>
      <w:r w:rsidR="00A94653">
        <w:rPr>
          <w:iCs/>
        </w:rPr>
        <w:t xml:space="preserve"> forbindelse med</w:t>
      </w:r>
      <w:r w:rsidR="00B76942">
        <w:rPr>
          <w:iCs/>
        </w:rPr>
        <w:t xml:space="preserve"> udbud </w:t>
      </w:r>
      <w:r w:rsidR="004734C6">
        <w:rPr>
          <w:iCs/>
        </w:rPr>
        <w:t>og gennemfør</w:t>
      </w:r>
      <w:r w:rsidR="00A94653">
        <w:rPr>
          <w:iCs/>
        </w:rPr>
        <w:t>else</w:t>
      </w:r>
      <w:r w:rsidR="004734C6">
        <w:rPr>
          <w:iCs/>
        </w:rPr>
        <w:t xml:space="preserve"> </w:t>
      </w:r>
      <w:r w:rsidR="00B76942">
        <w:rPr>
          <w:iCs/>
        </w:rPr>
        <w:t>af regulerede aktiviteter</w:t>
      </w:r>
      <w:r w:rsidR="00A94653">
        <w:rPr>
          <w:iCs/>
        </w:rPr>
        <w:t xml:space="preserve"> bør </w:t>
      </w:r>
      <w:r w:rsidR="00505173">
        <w:rPr>
          <w:iCs/>
        </w:rPr>
        <w:t xml:space="preserve">derfor </w:t>
      </w:r>
      <w:r w:rsidR="00C026DD">
        <w:rPr>
          <w:iCs/>
        </w:rPr>
        <w:t xml:space="preserve">også </w:t>
      </w:r>
      <w:r w:rsidR="00A94653">
        <w:rPr>
          <w:iCs/>
        </w:rPr>
        <w:t>afklares</w:t>
      </w:r>
      <w:r w:rsidR="00B76942">
        <w:rPr>
          <w:iCs/>
        </w:rPr>
        <w:t xml:space="preserve">. </w:t>
      </w:r>
      <w:r w:rsidR="005F4A2E">
        <w:rPr>
          <w:iCs/>
        </w:rPr>
        <w:t>Relevante forhold kan f.eks. være</w:t>
      </w:r>
      <w:r w:rsidR="004734C6">
        <w:rPr>
          <w:iCs/>
        </w:rPr>
        <w:t xml:space="preserve"> </w:t>
      </w:r>
      <w:r w:rsidR="005F4A2E">
        <w:rPr>
          <w:iCs/>
        </w:rPr>
        <w:t xml:space="preserve">tilfælde, hvor udbyder kan </w:t>
      </w:r>
      <w:r w:rsidR="004734C6">
        <w:rPr>
          <w:iCs/>
        </w:rPr>
        <w:t>omgøre registreringer i hovedbogen gennem tilbagefør</w:t>
      </w:r>
      <w:r w:rsidR="004C4FA0">
        <w:rPr>
          <w:iCs/>
        </w:rPr>
        <w:t>elser</w:t>
      </w:r>
      <w:r w:rsidR="007D1540">
        <w:rPr>
          <w:iCs/>
        </w:rPr>
        <w:t xml:space="preserve"> eller </w:t>
      </w:r>
      <w:r w:rsidR="005F4A2E">
        <w:rPr>
          <w:iCs/>
        </w:rPr>
        <w:t xml:space="preserve">har </w:t>
      </w:r>
      <w:r w:rsidR="007D1540">
        <w:rPr>
          <w:iCs/>
        </w:rPr>
        <w:t xml:space="preserve">kontrol over </w:t>
      </w:r>
      <w:r w:rsidR="004734C6">
        <w:rPr>
          <w:iCs/>
        </w:rPr>
        <w:t>bruger</w:t>
      </w:r>
      <w:r w:rsidR="007D1540">
        <w:rPr>
          <w:iCs/>
        </w:rPr>
        <w:t>n</w:t>
      </w:r>
      <w:r w:rsidR="004734C6">
        <w:rPr>
          <w:iCs/>
        </w:rPr>
        <w:t xml:space="preserve">es </w:t>
      </w:r>
      <w:r w:rsidR="00351ACC">
        <w:rPr>
          <w:iCs/>
        </w:rPr>
        <w:t xml:space="preserve">adgang til at </w:t>
      </w:r>
      <w:r w:rsidR="00B76942">
        <w:rPr>
          <w:iCs/>
        </w:rPr>
        <w:t>tilgængeliggøre</w:t>
      </w:r>
      <w:r w:rsidR="00351ACC">
        <w:rPr>
          <w:iCs/>
        </w:rPr>
        <w:t xml:space="preserve"> </w:t>
      </w:r>
      <w:r w:rsidR="00B76942">
        <w:rPr>
          <w:iCs/>
        </w:rPr>
        <w:t xml:space="preserve">smartkontrakter, der </w:t>
      </w:r>
      <w:r w:rsidR="0052660B">
        <w:rPr>
          <w:iCs/>
        </w:rPr>
        <w:t>brug</w:t>
      </w:r>
      <w:r w:rsidR="00B76942">
        <w:rPr>
          <w:iCs/>
        </w:rPr>
        <w:t xml:space="preserve">es til at udbyde </w:t>
      </w:r>
      <w:r w:rsidR="0041342F">
        <w:rPr>
          <w:iCs/>
        </w:rPr>
        <w:t xml:space="preserve">regulerede aktiviteter i </w:t>
      </w:r>
      <w:r w:rsidR="004B0E38">
        <w:rPr>
          <w:iCs/>
        </w:rPr>
        <w:t>systemet</w:t>
      </w:r>
      <w:r w:rsidR="0041342F">
        <w:rPr>
          <w:iCs/>
        </w:rPr>
        <w:t xml:space="preserve">. </w:t>
      </w:r>
    </w:p>
    <w:p w14:paraId="40C8A339" w14:textId="77777777" w:rsidR="00505173" w:rsidRDefault="00505173" w:rsidP="0041342F">
      <w:pPr>
        <w:rPr>
          <w:iCs/>
        </w:rPr>
      </w:pPr>
    </w:p>
    <w:p w14:paraId="38C0C57D" w14:textId="0944B53E" w:rsidR="00505173" w:rsidRDefault="00505173" w:rsidP="00505173">
      <w:pPr>
        <w:pStyle w:val="Overskrift3"/>
      </w:pPr>
      <w:r>
        <w:rPr>
          <w:rFonts w:eastAsia="Arial"/>
        </w:rPr>
        <w:t xml:space="preserve">5.2.2.2. Kontrol </w:t>
      </w:r>
      <w:r w:rsidRPr="00E5000E">
        <w:rPr>
          <w:rFonts w:eastAsia="Arial"/>
        </w:rPr>
        <w:t>over adgangsmekanismer</w:t>
      </w:r>
    </w:p>
    <w:p w14:paraId="5A0EA9CB" w14:textId="68A14C1B" w:rsidR="00505173" w:rsidRDefault="00505173" w:rsidP="00505173">
      <w:pPr>
        <w:rPr>
          <w:iCs/>
        </w:rPr>
      </w:pPr>
      <w:r w:rsidRPr="001D663B">
        <w:t xml:space="preserve">Bank </w:t>
      </w:r>
      <w:r>
        <w:t>for</w:t>
      </w:r>
      <w:r w:rsidRPr="001D663B">
        <w:t xml:space="preserve"> International Settlement (B</w:t>
      </w:r>
      <w:r>
        <w:t>I</w:t>
      </w:r>
      <w:r w:rsidRPr="001D663B">
        <w:t>S)</w:t>
      </w:r>
      <w:r>
        <w:t xml:space="preserve"> karakteriserer DLT-systemer som centrale eller decentrale </w:t>
      </w:r>
      <w:r w:rsidRPr="001D663B">
        <w:t xml:space="preserve">i artiklen </w:t>
      </w:r>
      <w:r w:rsidRPr="00645438">
        <w:t xml:space="preserve">On the Future of </w:t>
      </w:r>
      <w:proofErr w:type="spellStart"/>
      <w:r w:rsidRPr="00645438">
        <w:t>Securities</w:t>
      </w:r>
      <w:proofErr w:type="spellEnd"/>
      <w:r w:rsidRPr="00645438">
        <w:t xml:space="preserve"> Settlement</w:t>
      </w:r>
      <w:r w:rsidRPr="00645438">
        <w:rPr>
          <w:rStyle w:val="Fodnotehenvisning"/>
        </w:rPr>
        <w:footnoteReference w:id="9"/>
      </w:r>
      <w:r w:rsidRPr="00645438">
        <w:t>.</w:t>
      </w:r>
      <w:r>
        <w:t xml:space="preserve"> BIS</w:t>
      </w:r>
      <w:r>
        <w:rPr>
          <w:iCs/>
        </w:rPr>
        <w:t xml:space="preserve"> sondrer bl.a. mellem </w:t>
      </w:r>
      <w:proofErr w:type="spellStart"/>
      <w:r w:rsidRPr="00645438">
        <w:rPr>
          <w:iCs/>
        </w:rPr>
        <w:t>permissioned</w:t>
      </w:r>
      <w:proofErr w:type="spellEnd"/>
      <w:r w:rsidR="0052660B">
        <w:rPr>
          <w:iCs/>
        </w:rPr>
        <w:t xml:space="preserve"> og </w:t>
      </w:r>
      <w:proofErr w:type="spellStart"/>
      <w:r w:rsidRPr="00645438">
        <w:rPr>
          <w:iCs/>
        </w:rPr>
        <w:t>permissionless</w:t>
      </w:r>
      <w:proofErr w:type="spellEnd"/>
      <w:r>
        <w:rPr>
          <w:iCs/>
        </w:rPr>
        <w:t xml:space="preserve"> </w:t>
      </w:r>
      <w:r w:rsidR="0052660B">
        <w:rPr>
          <w:iCs/>
        </w:rPr>
        <w:t>samt</w:t>
      </w:r>
      <w:r>
        <w:rPr>
          <w:iCs/>
        </w:rPr>
        <w:t xml:space="preserve"> </w:t>
      </w:r>
      <w:r w:rsidRPr="00645438">
        <w:rPr>
          <w:iCs/>
        </w:rPr>
        <w:t>private</w:t>
      </w:r>
      <w:r w:rsidR="0052660B">
        <w:rPr>
          <w:iCs/>
        </w:rPr>
        <w:t xml:space="preserve"> og </w:t>
      </w:r>
      <w:r w:rsidRPr="00645438">
        <w:rPr>
          <w:iCs/>
        </w:rPr>
        <w:t>public</w:t>
      </w:r>
      <w:r>
        <w:rPr>
          <w:i/>
        </w:rPr>
        <w:t xml:space="preserve"> </w:t>
      </w:r>
      <w:r>
        <w:rPr>
          <w:iCs/>
        </w:rPr>
        <w:t xml:space="preserve">DLT-systemer. </w:t>
      </w:r>
      <w:proofErr w:type="spellStart"/>
      <w:r w:rsidRPr="00645438">
        <w:t>Permissionless</w:t>
      </w:r>
      <w:proofErr w:type="spellEnd"/>
      <w:r>
        <w:t>-</w:t>
      </w:r>
      <w:r w:rsidRPr="004C4FA0">
        <w:t xml:space="preserve"> og </w:t>
      </w:r>
      <w:r w:rsidRPr="00645438">
        <w:t>public</w:t>
      </w:r>
      <w:r>
        <w:rPr>
          <w:i/>
          <w:iCs/>
        </w:rPr>
        <w:t>-</w:t>
      </w:r>
      <w:r>
        <w:t>systemer, som f.eks. konventionelle blockchains, kræver alene deltagerens pseudonym – den offentlige del af deltagerens nøglepar – til identifikation</w:t>
      </w:r>
      <w:r>
        <w:rPr>
          <w:rStyle w:val="Fodnotehenvisning"/>
        </w:rPr>
        <w:footnoteReference w:id="10"/>
      </w:r>
      <w:r>
        <w:t xml:space="preserve">. </w:t>
      </w:r>
      <w:r>
        <w:rPr>
          <w:iCs/>
        </w:rPr>
        <w:t xml:space="preserve">Et </w:t>
      </w:r>
      <w:proofErr w:type="spellStart"/>
      <w:r w:rsidRPr="00645438">
        <w:rPr>
          <w:iCs/>
        </w:rPr>
        <w:t>permissioned</w:t>
      </w:r>
      <w:proofErr w:type="spellEnd"/>
      <w:r w:rsidRPr="00645438">
        <w:rPr>
          <w:iCs/>
        </w:rPr>
        <w:t xml:space="preserve"> </w:t>
      </w:r>
      <w:r w:rsidRPr="004C4FA0">
        <w:rPr>
          <w:iCs/>
        </w:rPr>
        <w:t>system</w:t>
      </w:r>
      <w:r>
        <w:rPr>
          <w:i/>
        </w:rPr>
        <w:t xml:space="preserve"> </w:t>
      </w:r>
      <w:r>
        <w:rPr>
          <w:iCs/>
        </w:rPr>
        <w:t xml:space="preserve">har omvendt etableret en </w:t>
      </w:r>
      <w:r w:rsidR="009C00DF">
        <w:rPr>
          <w:iCs/>
        </w:rPr>
        <w:t xml:space="preserve">reel </w:t>
      </w:r>
      <w:r>
        <w:rPr>
          <w:iCs/>
        </w:rPr>
        <w:t xml:space="preserve">adgangsmekanisme </w:t>
      </w:r>
      <w:r w:rsidR="009C00DF">
        <w:rPr>
          <w:iCs/>
        </w:rPr>
        <w:t xml:space="preserve">for </w:t>
      </w:r>
      <w:r>
        <w:rPr>
          <w:iCs/>
        </w:rPr>
        <w:t>deltagelse i driften.</w:t>
      </w:r>
      <w:r w:rsidRPr="00215F0D">
        <w:rPr>
          <w:iCs/>
        </w:rPr>
        <w:t xml:space="preserve"> </w:t>
      </w:r>
      <w:r>
        <w:rPr>
          <w:iCs/>
        </w:rPr>
        <w:t>På samme måde fastsætter private DLT-systemer adgangsmekanismer for brugerne af systemet.</w:t>
      </w:r>
    </w:p>
    <w:p w14:paraId="45DCF7AC" w14:textId="33FECA1B" w:rsidR="00E5000E" w:rsidRDefault="00F71F99" w:rsidP="0041342F">
      <w:pPr>
        <w:rPr>
          <w:iCs/>
        </w:rPr>
      </w:pPr>
      <w:r>
        <w:rPr>
          <w:noProof/>
        </w:rPr>
        <mc:AlternateContent>
          <mc:Choice Requires="wps">
            <w:drawing>
              <wp:anchor distT="0" distB="0" distL="114300" distR="114300" simplePos="0" relativeHeight="251661312" behindDoc="0" locked="0" layoutInCell="1" allowOverlap="1" wp14:anchorId="478E8009" wp14:editId="40EBE00B">
                <wp:simplePos x="0" y="0"/>
                <wp:positionH relativeFrom="column">
                  <wp:posOffset>269875</wp:posOffset>
                </wp:positionH>
                <wp:positionV relativeFrom="paragraph">
                  <wp:posOffset>182880</wp:posOffset>
                </wp:positionV>
                <wp:extent cx="4860290" cy="1080135"/>
                <wp:effectExtent l="0" t="0" r="0" b="5715"/>
                <wp:wrapNone/>
                <wp:docPr id="1861266678" name="Rektangel: afrundede hjørne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1080135"/>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5301C3DD" w14:textId="5D0FB192" w:rsidR="0041342F" w:rsidRPr="00645438" w:rsidRDefault="0085012C" w:rsidP="0041342F">
                            <w:pPr>
                              <w:spacing w:line="279" w:lineRule="auto"/>
                              <w:textDirection w:val="btLr"/>
                              <w:rPr>
                                <w:rFonts w:eastAsia="Arial" w:cs="Arial"/>
                                <w:i/>
                                <w:iCs/>
                                <w:color w:val="000000"/>
                              </w:rPr>
                            </w:pPr>
                            <w:r>
                              <w:rPr>
                                <w:rFonts w:eastAsia="Arial" w:cs="Arial"/>
                                <w:i/>
                                <w:iCs/>
                                <w:color w:val="000000"/>
                              </w:rPr>
                              <w:t>Finanstilsynet vurderer</w:t>
                            </w:r>
                            <w:r w:rsidR="0041342F" w:rsidRPr="00E5000E">
                              <w:rPr>
                                <w:rFonts w:eastAsia="Arial" w:cs="Arial"/>
                                <w:i/>
                                <w:iCs/>
                                <w:color w:val="000000"/>
                              </w:rPr>
                              <w:t xml:space="preserve">, om et </w:t>
                            </w:r>
                            <w:proofErr w:type="spellStart"/>
                            <w:r w:rsidR="0041342F" w:rsidRPr="00E5000E">
                              <w:rPr>
                                <w:rFonts w:eastAsia="Arial" w:cs="Arial"/>
                                <w:i/>
                                <w:iCs/>
                                <w:color w:val="000000"/>
                              </w:rPr>
                              <w:t>retssubjekt</w:t>
                            </w:r>
                            <w:proofErr w:type="spellEnd"/>
                            <w:r w:rsidR="00B76942">
                              <w:rPr>
                                <w:rFonts w:eastAsia="Arial" w:cs="Arial"/>
                                <w:i/>
                                <w:iCs/>
                                <w:color w:val="000000"/>
                              </w:rPr>
                              <w:t xml:space="preserve"> </w:t>
                            </w:r>
                            <w:r w:rsidR="00B33148">
                              <w:rPr>
                                <w:rFonts w:eastAsia="Arial" w:cs="Arial"/>
                                <w:i/>
                                <w:iCs/>
                                <w:color w:val="000000"/>
                              </w:rPr>
                              <w:t xml:space="preserve">kontrollerer </w:t>
                            </w:r>
                            <w:r w:rsidR="0041342F" w:rsidRPr="00E5000E">
                              <w:rPr>
                                <w:rFonts w:eastAsia="Arial" w:cs="Arial"/>
                                <w:i/>
                                <w:iCs/>
                                <w:color w:val="000000"/>
                              </w:rPr>
                              <w:t xml:space="preserve">adgangen til at </w:t>
                            </w:r>
                            <w:r w:rsidR="00B76942">
                              <w:rPr>
                                <w:rFonts w:eastAsia="Arial" w:cs="Arial"/>
                                <w:i/>
                                <w:iCs/>
                                <w:color w:val="000000"/>
                              </w:rPr>
                              <w:t xml:space="preserve">tilgængeliggøre </w:t>
                            </w:r>
                            <w:r w:rsidR="0041342F" w:rsidRPr="00E5000E">
                              <w:rPr>
                                <w:rFonts w:eastAsia="Arial" w:cs="Arial"/>
                                <w:i/>
                                <w:iCs/>
                                <w:color w:val="000000"/>
                              </w:rPr>
                              <w:t xml:space="preserve">eller tilgå teknisk decentrale regulerede </w:t>
                            </w:r>
                            <w:r w:rsidR="00B76942">
                              <w:rPr>
                                <w:rFonts w:eastAsia="Arial" w:cs="Arial"/>
                                <w:i/>
                                <w:iCs/>
                                <w:color w:val="000000"/>
                              </w:rPr>
                              <w:t>aktiviteter</w:t>
                            </w:r>
                            <w:r w:rsidR="0041342F" w:rsidRPr="00E5000E">
                              <w:rPr>
                                <w:rFonts w:eastAsia="Arial" w:cs="Arial"/>
                                <w:i/>
                                <w:iCs/>
                                <w:color w:val="000000"/>
                              </w:rPr>
                              <w:t xml:space="preserve"> i </w:t>
                            </w:r>
                            <w:r w:rsidR="00B33148">
                              <w:rPr>
                                <w:rFonts w:eastAsia="Arial" w:cs="Arial"/>
                                <w:i/>
                                <w:iCs/>
                                <w:color w:val="000000"/>
                              </w:rPr>
                              <w:t>DLT-</w:t>
                            </w:r>
                            <w:r w:rsidR="00FF267E">
                              <w:rPr>
                                <w:rFonts w:eastAsia="Arial" w:cs="Arial"/>
                                <w:i/>
                                <w:iCs/>
                                <w:color w:val="000000"/>
                              </w:rPr>
                              <w:t>systemet</w:t>
                            </w:r>
                            <w:r w:rsidR="0041342F" w:rsidRPr="00E5000E">
                              <w:rPr>
                                <w:rFonts w:eastAsia="Arial" w:cs="Arial"/>
                                <w:i/>
                                <w:iCs/>
                                <w:color w:val="000000"/>
                              </w:rPr>
                              <w:t>.</w:t>
                            </w:r>
                            <w:r>
                              <w:rPr>
                                <w:rFonts w:eastAsia="Arial" w:cs="Arial"/>
                                <w:i/>
                                <w:iCs/>
                                <w:color w:val="000000"/>
                              </w:rPr>
                              <w:t xml:space="preserve"> Jo</w:t>
                            </w:r>
                            <w:r w:rsidR="0041342F" w:rsidRPr="00E5000E">
                              <w:rPr>
                                <w:rFonts w:eastAsia="Arial" w:cs="Arial"/>
                                <w:i/>
                                <w:iCs/>
                                <w:color w:val="000000"/>
                              </w:rPr>
                              <w:t xml:space="preserve"> </w:t>
                            </w:r>
                            <w:r w:rsidRPr="00E5000E">
                              <w:rPr>
                                <w:rFonts w:eastAsia="Arial" w:cs="Arial"/>
                                <w:i/>
                                <w:iCs/>
                                <w:color w:val="000000"/>
                              </w:rPr>
                              <w:t>s</w:t>
                            </w:r>
                            <w:r>
                              <w:rPr>
                                <w:rFonts w:eastAsia="Arial" w:cs="Arial"/>
                                <w:i/>
                                <w:iCs/>
                                <w:color w:val="000000"/>
                              </w:rPr>
                              <w:t>tørre</w:t>
                            </w:r>
                            <w:r w:rsidRPr="00E5000E">
                              <w:rPr>
                                <w:rFonts w:eastAsia="Arial" w:cs="Arial"/>
                                <w:i/>
                                <w:iCs/>
                                <w:color w:val="000000"/>
                              </w:rPr>
                              <w:t xml:space="preserve"> </w:t>
                            </w:r>
                            <w:r w:rsidR="0041342F" w:rsidRPr="00E5000E">
                              <w:rPr>
                                <w:rFonts w:eastAsia="Arial" w:cs="Arial"/>
                                <w:i/>
                                <w:iCs/>
                                <w:color w:val="000000"/>
                              </w:rPr>
                              <w:t>grad af kontrol</w:t>
                            </w:r>
                            <w:r>
                              <w:rPr>
                                <w:rFonts w:eastAsia="Arial" w:cs="Arial"/>
                                <w:i/>
                                <w:iCs/>
                                <w:color w:val="000000"/>
                              </w:rPr>
                              <w:t xml:space="preserve"> </w:t>
                            </w:r>
                            <w:proofErr w:type="spellStart"/>
                            <w:r>
                              <w:rPr>
                                <w:rFonts w:eastAsia="Arial" w:cs="Arial"/>
                                <w:i/>
                                <w:iCs/>
                                <w:color w:val="000000"/>
                              </w:rPr>
                              <w:t>retssubjektet</w:t>
                            </w:r>
                            <w:proofErr w:type="spellEnd"/>
                            <w:r>
                              <w:rPr>
                                <w:rFonts w:eastAsia="Arial" w:cs="Arial"/>
                                <w:i/>
                                <w:iCs/>
                                <w:color w:val="000000"/>
                              </w:rPr>
                              <w:t xml:space="preserve"> har,</w:t>
                            </w:r>
                            <w:r w:rsidR="0041342F" w:rsidRPr="00E5000E">
                              <w:rPr>
                                <w:rFonts w:eastAsia="Arial" w:cs="Arial"/>
                                <w:i/>
                                <w:iCs/>
                                <w:color w:val="000000"/>
                              </w:rPr>
                              <w:t xml:space="preserve"> </w:t>
                            </w:r>
                            <w:r w:rsidR="00395FAD">
                              <w:rPr>
                                <w:rFonts w:eastAsia="Arial" w:cs="Arial"/>
                                <w:i/>
                                <w:iCs/>
                                <w:color w:val="000000"/>
                              </w:rPr>
                              <w:t>des</w:t>
                            </w:r>
                            <w:r>
                              <w:rPr>
                                <w:rFonts w:eastAsia="Arial" w:cs="Arial"/>
                                <w:i/>
                                <w:iCs/>
                                <w:color w:val="000000"/>
                              </w:rPr>
                              <w:t xml:space="preserve"> mere kan man tale om</w:t>
                            </w:r>
                            <w:r w:rsidR="0041342F" w:rsidRPr="00E5000E">
                              <w:rPr>
                                <w:rFonts w:eastAsia="Arial" w:cs="Arial"/>
                                <w:i/>
                                <w:iCs/>
                                <w:color w:val="000000"/>
                              </w:rPr>
                              <w:t xml:space="preserve">, at </w:t>
                            </w:r>
                            <w:proofErr w:type="spellStart"/>
                            <w:r w:rsidR="00B76942">
                              <w:rPr>
                                <w:rFonts w:eastAsia="Arial" w:cs="Arial"/>
                                <w:i/>
                                <w:iCs/>
                                <w:color w:val="000000"/>
                              </w:rPr>
                              <w:t>retssubjektet</w:t>
                            </w:r>
                            <w:proofErr w:type="spellEnd"/>
                            <w:r w:rsidR="0041342F" w:rsidRPr="00E5000E">
                              <w:rPr>
                                <w:rFonts w:eastAsia="Arial" w:cs="Arial"/>
                                <w:i/>
                                <w:iCs/>
                                <w:color w:val="000000"/>
                              </w:rPr>
                              <w:t xml:space="preserve"> </w:t>
                            </w:r>
                            <w:r w:rsidR="00B33148">
                              <w:rPr>
                                <w:rFonts w:eastAsia="Arial" w:cs="Arial"/>
                                <w:i/>
                                <w:iCs/>
                                <w:color w:val="000000"/>
                              </w:rPr>
                              <w:t xml:space="preserve">disponerer over udbuddet af de regulerede aktiviteter </w:t>
                            </w:r>
                            <w:r w:rsidR="004C4FA0">
                              <w:rPr>
                                <w:rFonts w:eastAsia="Arial" w:cs="Arial"/>
                                <w:i/>
                                <w:iCs/>
                                <w:color w:val="000000"/>
                              </w:rPr>
                              <w:t xml:space="preserve">– </w:t>
                            </w:r>
                            <w:r w:rsidR="00B33148">
                              <w:rPr>
                                <w:rFonts w:eastAsia="Arial" w:cs="Arial"/>
                                <w:i/>
                                <w:iCs/>
                                <w:color w:val="000000"/>
                              </w:rPr>
                              <w:t>og der</w:t>
                            </w:r>
                            <w:r>
                              <w:rPr>
                                <w:rFonts w:eastAsia="Arial" w:cs="Arial"/>
                                <w:i/>
                                <w:iCs/>
                                <w:color w:val="000000"/>
                              </w:rPr>
                              <w:t>med</w:t>
                            </w:r>
                            <w:r w:rsidR="00B33148">
                              <w:rPr>
                                <w:rFonts w:eastAsia="Arial" w:cs="Arial"/>
                                <w:i/>
                                <w:iCs/>
                                <w:color w:val="000000"/>
                              </w:rPr>
                              <w:t xml:space="preserve"> </w:t>
                            </w:r>
                            <w:r>
                              <w:rPr>
                                <w:rFonts w:eastAsia="Arial" w:cs="Arial"/>
                                <w:i/>
                                <w:iCs/>
                                <w:color w:val="000000"/>
                              </w:rPr>
                              <w:t>er forpligtet</w:t>
                            </w:r>
                            <w:r w:rsidR="00B33148">
                              <w:rPr>
                                <w:rFonts w:eastAsia="Arial" w:cs="Arial"/>
                                <w:i/>
                                <w:iCs/>
                                <w:color w:val="000000"/>
                              </w:rPr>
                              <w:t xml:space="preserve"> efter </w:t>
                            </w:r>
                            <w:proofErr w:type="spellStart"/>
                            <w:r w:rsidR="00B33148">
                              <w:rPr>
                                <w:rFonts w:eastAsia="Arial" w:cs="Arial"/>
                                <w:i/>
                                <w:iCs/>
                                <w:color w:val="000000"/>
                              </w:rPr>
                              <w:t>MiCA</w:t>
                            </w:r>
                            <w:proofErr w:type="spellEnd"/>
                            <w:r w:rsidR="0041342F" w:rsidRPr="00E5000E">
                              <w:rPr>
                                <w:rFonts w:eastAsia="Arial" w:cs="Arial"/>
                                <w:i/>
                                <w:iCs/>
                                <w:color w:val="000000"/>
                              </w:rPr>
                              <w:t xml:space="preserve">.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78E8009" id="Rektangel: afrundede hjørner 5" o:spid="_x0000_s1033" style="position:absolute;left:0;text-align:left;margin-left:21.25pt;margin-top:14.4pt;width:382.7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" fillcolor="#f2f2f2">
                <v:stroke startarrowwidth="narrow" startarrowlength="short" endarrowwidth="narrow" endarrowlength="short"/>
                <v:textbox inset="2.53958mm,1.2694mm,2.53958mm,1.2694mm">
                  <w:txbxContent>
                    <w:p w14:paraId="5301C3DD" w14:textId="5D0FB192" w:rsidR="0041342F" w:rsidRPr="00645438" w:rsidRDefault="0085012C" w:rsidP="0041342F">
                      <w:pPr>
                        <w:spacing w:line="279" w:lineRule="auto"/>
                        <w:textDirection w:val="btLr"/>
                        <w:rPr>
                          <w:rFonts w:eastAsia="Arial" w:cs="Arial"/>
                          <w:i/>
                          <w:iCs/>
                          <w:color w:val="000000"/>
                        </w:rPr>
                      </w:pPr>
                      <w:r>
                        <w:rPr>
                          <w:rFonts w:eastAsia="Arial" w:cs="Arial"/>
                          <w:i/>
                          <w:iCs/>
                          <w:color w:val="000000"/>
                        </w:rPr>
                        <w:t>Finanstilsynet vurderer</w:t>
                      </w:r>
                      <w:r w:rsidR="0041342F" w:rsidRPr="00E5000E">
                        <w:rPr>
                          <w:rFonts w:eastAsia="Arial" w:cs="Arial"/>
                          <w:i/>
                          <w:iCs/>
                          <w:color w:val="000000"/>
                        </w:rPr>
                        <w:t>, om et retssubjekt</w:t>
                      </w:r>
                      <w:r w:rsidR="00B76942">
                        <w:rPr>
                          <w:rFonts w:eastAsia="Arial" w:cs="Arial"/>
                          <w:i/>
                          <w:iCs/>
                          <w:color w:val="000000"/>
                        </w:rPr>
                        <w:t xml:space="preserve"> </w:t>
                      </w:r>
                      <w:r w:rsidR="00B33148">
                        <w:rPr>
                          <w:rFonts w:eastAsia="Arial" w:cs="Arial"/>
                          <w:i/>
                          <w:iCs/>
                          <w:color w:val="000000"/>
                        </w:rPr>
                        <w:t xml:space="preserve">kontrollerer </w:t>
                      </w:r>
                      <w:r w:rsidR="0041342F" w:rsidRPr="00E5000E">
                        <w:rPr>
                          <w:rFonts w:eastAsia="Arial" w:cs="Arial"/>
                          <w:i/>
                          <w:iCs/>
                          <w:color w:val="000000"/>
                        </w:rPr>
                        <w:t xml:space="preserve">adgangen til at </w:t>
                      </w:r>
                      <w:r w:rsidR="00B76942">
                        <w:rPr>
                          <w:rFonts w:eastAsia="Arial" w:cs="Arial"/>
                          <w:i/>
                          <w:iCs/>
                          <w:color w:val="000000"/>
                        </w:rPr>
                        <w:t xml:space="preserve">tilgængeliggøre </w:t>
                      </w:r>
                      <w:r w:rsidR="0041342F" w:rsidRPr="00E5000E">
                        <w:rPr>
                          <w:rFonts w:eastAsia="Arial" w:cs="Arial"/>
                          <w:i/>
                          <w:iCs/>
                          <w:color w:val="000000"/>
                        </w:rPr>
                        <w:t xml:space="preserve">eller tilgå teknisk decentrale regulerede </w:t>
                      </w:r>
                      <w:r w:rsidR="00B76942">
                        <w:rPr>
                          <w:rFonts w:eastAsia="Arial" w:cs="Arial"/>
                          <w:i/>
                          <w:iCs/>
                          <w:color w:val="000000"/>
                        </w:rPr>
                        <w:t>aktiviteter</w:t>
                      </w:r>
                      <w:r w:rsidR="0041342F" w:rsidRPr="00E5000E">
                        <w:rPr>
                          <w:rFonts w:eastAsia="Arial" w:cs="Arial"/>
                          <w:i/>
                          <w:iCs/>
                          <w:color w:val="000000"/>
                        </w:rPr>
                        <w:t xml:space="preserve"> i </w:t>
                      </w:r>
                      <w:r w:rsidR="00B33148">
                        <w:rPr>
                          <w:rFonts w:eastAsia="Arial" w:cs="Arial"/>
                          <w:i/>
                          <w:iCs/>
                          <w:color w:val="000000"/>
                        </w:rPr>
                        <w:t>DLT-</w:t>
                      </w:r>
                      <w:r w:rsidR="00FF267E">
                        <w:rPr>
                          <w:rFonts w:eastAsia="Arial" w:cs="Arial"/>
                          <w:i/>
                          <w:iCs/>
                          <w:color w:val="000000"/>
                        </w:rPr>
                        <w:t>systemet</w:t>
                      </w:r>
                      <w:r w:rsidR="0041342F" w:rsidRPr="00E5000E">
                        <w:rPr>
                          <w:rFonts w:eastAsia="Arial" w:cs="Arial"/>
                          <w:i/>
                          <w:iCs/>
                          <w:color w:val="000000"/>
                        </w:rPr>
                        <w:t>.</w:t>
                      </w:r>
                      <w:r>
                        <w:rPr>
                          <w:rFonts w:eastAsia="Arial" w:cs="Arial"/>
                          <w:i/>
                          <w:iCs/>
                          <w:color w:val="000000"/>
                        </w:rPr>
                        <w:t xml:space="preserve"> Jo</w:t>
                      </w:r>
                      <w:r w:rsidR="0041342F" w:rsidRPr="00E5000E">
                        <w:rPr>
                          <w:rFonts w:eastAsia="Arial" w:cs="Arial"/>
                          <w:i/>
                          <w:iCs/>
                          <w:color w:val="000000"/>
                        </w:rPr>
                        <w:t xml:space="preserve"> </w:t>
                      </w:r>
                      <w:r w:rsidRPr="00E5000E">
                        <w:rPr>
                          <w:rFonts w:eastAsia="Arial" w:cs="Arial"/>
                          <w:i/>
                          <w:iCs/>
                          <w:color w:val="000000"/>
                        </w:rPr>
                        <w:t>s</w:t>
                      </w:r>
                      <w:r>
                        <w:rPr>
                          <w:rFonts w:eastAsia="Arial" w:cs="Arial"/>
                          <w:i/>
                          <w:iCs/>
                          <w:color w:val="000000"/>
                        </w:rPr>
                        <w:t>tørre</w:t>
                      </w:r>
                      <w:r w:rsidRPr="00E5000E">
                        <w:rPr>
                          <w:rFonts w:eastAsia="Arial" w:cs="Arial"/>
                          <w:i/>
                          <w:iCs/>
                          <w:color w:val="000000"/>
                        </w:rPr>
                        <w:t xml:space="preserve"> </w:t>
                      </w:r>
                      <w:r w:rsidR="0041342F" w:rsidRPr="00E5000E">
                        <w:rPr>
                          <w:rFonts w:eastAsia="Arial" w:cs="Arial"/>
                          <w:i/>
                          <w:iCs/>
                          <w:color w:val="000000"/>
                        </w:rPr>
                        <w:t>grad af kontrol</w:t>
                      </w:r>
                      <w:r>
                        <w:rPr>
                          <w:rFonts w:eastAsia="Arial" w:cs="Arial"/>
                          <w:i/>
                          <w:iCs/>
                          <w:color w:val="000000"/>
                        </w:rPr>
                        <w:t xml:space="preserve"> retssubjektet har,</w:t>
                      </w:r>
                      <w:r w:rsidR="0041342F" w:rsidRPr="00E5000E">
                        <w:rPr>
                          <w:rFonts w:eastAsia="Arial" w:cs="Arial"/>
                          <w:i/>
                          <w:iCs/>
                          <w:color w:val="000000"/>
                        </w:rPr>
                        <w:t xml:space="preserve"> </w:t>
                      </w:r>
                      <w:r w:rsidR="00395FAD">
                        <w:rPr>
                          <w:rFonts w:eastAsia="Arial" w:cs="Arial"/>
                          <w:i/>
                          <w:iCs/>
                          <w:color w:val="000000"/>
                        </w:rPr>
                        <w:t>des</w:t>
                      </w:r>
                      <w:r>
                        <w:rPr>
                          <w:rFonts w:eastAsia="Arial" w:cs="Arial"/>
                          <w:i/>
                          <w:iCs/>
                          <w:color w:val="000000"/>
                        </w:rPr>
                        <w:t xml:space="preserve"> mere kan man tale om</w:t>
                      </w:r>
                      <w:r w:rsidR="0041342F" w:rsidRPr="00E5000E">
                        <w:rPr>
                          <w:rFonts w:eastAsia="Arial" w:cs="Arial"/>
                          <w:i/>
                          <w:iCs/>
                          <w:color w:val="000000"/>
                        </w:rPr>
                        <w:t xml:space="preserve">, at </w:t>
                      </w:r>
                      <w:r w:rsidR="00B76942">
                        <w:rPr>
                          <w:rFonts w:eastAsia="Arial" w:cs="Arial"/>
                          <w:i/>
                          <w:iCs/>
                          <w:color w:val="000000"/>
                        </w:rPr>
                        <w:t>retssubjektet</w:t>
                      </w:r>
                      <w:r w:rsidR="0041342F" w:rsidRPr="00E5000E">
                        <w:rPr>
                          <w:rFonts w:eastAsia="Arial" w:cs="Arial"/>
                          <w:i/>
                          <w:iCs/>
                          <w:color w:val="000000"/>
                        </w:rPr>
                        <w:t xml:space="preserve"> </w:t>
                      </w:r>
                      <w:r w:rsidR="00B33148">
                        <w:rPr>
                          <w:rFonts w:eastAsia="Arial" w:cs="Arial"/>
                          <w:i/>
                          <w:iCs/>
                          <w:color w:val="000000"/>
                        </w:rPr>
                        <w:t xml:space="preserve">disponerer over udbuddet af de regulerede aktiviteter </w:t>
                      </w:r>
                      <w:r w:rsidR="004C4FA0">
                        <w:rPr>
                          <w:rFonts w:eastAsia="Arial" w:cs="Arial"/>
                          <w:i/>
                          <w:iCs/>
                          <w:color w:val="000000"/>
                        </w:rPr>
                        <w:t xml:space="preserve">– </w:t>
                      </w:r>
                      <w:r w:rsidR="00B33148">
                        <w:rPr>
                          <w:rFonts w:eastAsia="Arial" w:cs="Arial"/>
                          <w:i/>
                          <w:iCs/>
                          <w:color w:val="000000"/>
                        </w:rPr>
                        <w:t>og der</w:t>
                      </w:r>
                      <w:r>
                        <w:rPr>
                          <w:rFonts w:eastAsia="Arial" w:cs="Arial"/>
                          <w:i/>
                          <w:iCs/>
                          <w:color w:val="000000"/>
                        </w:rPr>
                        <w:t>med</w:t>
                      </w:r>
                      <w:r w:rsidR="00B33148">
                        <w:rPr>
                          <w:rFonts w:eastAsia="Arial" w:cs="Arial"/>
                          <w:i/>
                          <w:iCs/>
                          <w:color w:val="000000"/>
                        </w:rPr>
                        <w:t xml:space="preserve"> </w:t>
                      </w:r>
                      <w:r>
                        <w:rPr>
                          <w:rFonts w:eastAsia="Arial" w:cs="Arial"/>
                          <w:i/>
                          <w:iCs/>
                          <w:color w:val="000000"/>
                        </w:rPr>
                        <w:t>er forpligtet</w:t>
                      </w:r>
                      <w:r w:rsidR="00B33148">
                        <w:rPr>
                          <w:rFonts w:eastAsia="Arial" w:cs="Arial"/>
                          <w:i/>
                          <w:iCs/>
                          <w:color w:val="000000"/>
                        </w:rPr>
                        <w:t xml:space="preserve"> efter MiCA</w:t>
                      </w:r>
                      <w:r w:rsidR="0041342F" w:rsidRPr="00E5000E">
                        <w:rPr>
                          <w:rFonts w:eastAsia="Arial" w:cs="Arial"/>
                          <w:i/>
                          <w:iCs/>
                          <w:color w:val="000000"/>
                        </w:rPr>
                        <w:t xml:space="preserve">. </w:t>
                      </w:r>
                    </w:p>
                  </w:txbxContent>
                </v:textbox>
              </v:roundrect>
            </w:pict>
          </mc:Fallback>
        </mc:AlternateContent>
      </w:r>
    </w:p>
    <w:p w14:paraId="0E9879A0" w14:textId="0D2DA7CE" w:rsidR="0041342F" w:rsidRDefault="0041342F" w:rsidP="0041342F">
      <w:pPr>
        <w:rPr>
          <w:iCs/>
        </w:rPr>
      </w:pPr>
    </w:p>
    <w:p w14:paraId="0A7E9F88" w14:textId="4696357A" w:rsidR="0041342F" w:rsidRDefault="0041342F" w:rsidP="0041342F">
      <w:pPr>
        <w:rPr>
          <w:iCs/>
        </w:rPr>
      </w:pPr>
    </w:p>
    <w:p w14:paraId="36BAE4EC" w14:textId="5EA7E705" w:rsidR="0041342F" w:rsidRDefault="0041342F" w:rsidP="0041342F">
      <w:pPr>
        <w:rPr>
          <w:iCs/>
        </w:rPr>
      </w:pPr>
    </w:p>
    <w:p w14:paraId="3AECF445" w14:textId="77777777" w:rsidR="0041342F" w:rsidRDefault="0041342F" w:rsidP="0041342F">
      <w:pPr>
        <w:rPr>
          <w:iCs/>
        </w:rPr>
      </w:pPr>
    </w:p>
    <w:p w14:paraId="2F63E04C" w14:textId="77777777" w:rsidR="0041342F" w:rsidRDefault="0041342F" w:rsidP="0041342F">
      <w:pPr>
        <w:rPr>
          <w:iCs/>
        </w:rPr>
      </w:pPr>
    </w:p>
    <w:p w14:paraId="25A0864C" w14:textId="77777777" w:rsidR="0041342F" w:rsidRDefault="0041342F" w:rsidP="0041342F">
      <w:pPr>
        <w:rPr>
          <w:iCs/>
        </w:rPr>
      </w:pPr>
    </w:p>
    <w:p w14:paraId="1A4CDE6A" w14:textId="77777777" w:rsidR="0041342F" w:rsidRDefault="0041342F" w:rsidP="0041342F">
      <w:pPr>
        <w:rPr>
          <w:iCs/>
        </w:rPr>
      </w:pPr>
    </w:p>
    <w:p w14:paraId="22A5A703" w14:textId="2C980200" w:rsidR="00DD1C7E" w:rsidRDefault="0041342F" w:rsidP="00DD1C7E">
      <w:pPr>
        <w:rPr>
          <w:iCs/>
        </w:rPr>
      </w:pPr>
      <w:r>
        <w:rPr>
          <w:iCs/>
        </w:rPr>
        <w:t xml:space="preserve">Adgangsmekanismer kan struktureres </w:t>
      </w:r>
      <w:r w:rsidR="0039685D">
        <w:rPr>
          <w:iCs/>
        </w:rPr>
        <w:t>forskelligt</w:t>
      </w:r>
      <w:r>
        <w:rPr>
          <w:iCs/>
        </w:rPr>
        <w:t xml:space="preserve">. </w:t>
      </w:r>
      <w:r w:rsidR="00573438">
        <w:rPr>
          <w:iCs/>
        </w:rPr>
        <w:t xml:space="preserve">Nogle kræver </w:t>
      </w:r>
      <w:r>
        <w:rPr>
          <w:iCs/>
        </w:rPr>
        <w:t xml:space="preserve">udelukkende </w:t>
      </w:r>
      <w:r w:rsidR="00573438">
        <w:rPr>
          <w:iCs/>
        </w:rPr>
        <w:t xml:space="preserve">oplysninger til </w:t>
      </w:r>
      <w:r>
        <w:rPr>
          <w:iCs/>
        </w:rPr>
        <w:t>personidentifi</w:t>
      </w:r>
      <w:r w:rsidR="00573438">
        <w:rPr>
          <w:iCs/>
        </w:rPr>
        <w:t>kation</w:t>
      </w:r>
      <w:r w:rsidR="0039685D">
        <w:rPr>
          <w:iCs/>
        </w:rPr>
        <w:t xml:space="preserve">, </w:t>
      </w:r>
      <w:r w:rsidR="00573438">
        <w:rPr>
          <w:iCs/>
        </w:rPr>
        <w:t>andre har mere</w:t>
      </w:r>
      <w:r w:rsidR="000963B5">
        <w:rPr>
          <w:iCs/>
        </w:rPr>
        <w:t xml:space="preserve"> </w:t>
      </w:r>
      <w:r>
        <w:rPr>
          <w:iCs/>
        </w:rPr>
        <w:t>omfattende krav</w:t>
      </w:r>
      <w:r w:rsidR="00DD1C7E">
        <w:rPr>
          <w:iCs/>
        </w:rPr>
        <w:t xml:space="preserve">, </w:t>
      </w:r>
      <w:r w:rsidR="00573438">
        <w:rPr>
          <w:iCs/>
        </w:rPr>
        <w:t xml:space="preserve">som f.eks. </w:t>
      </w:r>
      <w:r>
        <w:rPr>
          <w:iCs/>
        </w:rPr>
        <w:t>krav om interessefællesskab</w:t>
      </w:r>
      <w:r w:rsidR="00DD1C7E">
        <w:rPr>
          <w:iCs/>
        </w:rPr>
        <w:t>.</w:t>
      </w:r>
      <w:r w:rsidR="00F452AA">
        <w:rPr>
          <w:iCs/>
        </w:rPr>
        <w:t xml:space="preserve"> Det </w:t>
      </w:r>
      <w:r w:rsidR="00573438">
        <w:rPr>
          <w:iCs/>
        </w:rPr>
        <w:t xml:space="preserve">gør det bl.a. </w:t>
      </w:r>
      <w:r w:rsidR="00F452AA">
        <w:rPr>
          <w:iCs/>
        </w:rPr>
        <w:t>mulig</w:t>
      </w:r>
      <w:r w:rsidR="00573438">
        <w:rPr>
          <w:iCs/>
        </w:rPr>
        <w:t>t at begrænse</w:t>
      </w:r>
      <w:r>
        <w:rPr>
          <w:iCs/>
        </w:rPr>
        <w:t xml:space="preserve"> deltager</w:t>
      </w:r>
      <w:r w:rsidR="00F452AA">
        <w:rPr>
          <w:iCs/>
        </w:rPr>
        <w:t>e</w:t>
      </w:r>
      <w:r>
        <w:rPr>
          <w:iCs/>
        </w:rPr>
        <w:t xml:space="preserve"> i driften til </w:t>
      </w:r>
      <w:r w:rsidR="00F452AA">
        <w:rPr>
          <w:iCs/>
        </w:rPr>
        <w:t xml:space="preserve">kun at </w:t>
      </w:r>
      <w:r w:rsidR="00DD1C7E">
        <w:rPr>
          <w:iCs/>
        </w:rPr>
        <w:t>drift</w:t>
      </w:r>
      <w:r w:rsidR="00F452AA">
        <w:rPr>
          <w:iCs/>
        </w:rPr>
        <w:t>e</w:t>
      </w:r>
      <w:r w:rsidR="00DD1C7E">
        <w:rPr>
          <w:iCs/>
        </w:rPr>
        <w:t xml:space="preserve"> </w:t>
      </w:r>
      <w:r w:rsidR="00F452AA">
        <w:rPr>
          <w:iCs/>
        </w:rPr>
        <w:t xml:space="preserve">enkelte </w:t>
      </w:r>
      <w:r w:rsidR="00DD1C7E">
        <w:rPr>
          <w:iCs/>
        </w:rPr>
        <w:t>fragmenter af den samlede hovedbog</w:t>
      </w:r>
      <w:r w:rsidR="00DD1C7E">
        <w:rPr>
          <w:rStyle w:val="Fodnotehenvisning"/>
          <w:iCs/>
        </w:rPr>
        <w:footnoteReference w:id="11"/>
      </w:r>
      <w:r w:rsidR="00573438">
        <w:rPr>
          <w:iCs/>
        </w:rPr>
        <w:t xml:space="preserve"> </w:t>
      </w:r>
      <w:r w:rsidR="00F452AA">
        <w:rPr>
          <w:iCs/>
        </w:rPr>
        <w:t>og</w:t>
      </w:r>
      <w:r>
        <w:rPr>
          <w:iCs/>
        </w:rPr>
        <w:t xml:space="preserve"> </w:t>
      </w:r>
      <w:r w:rsidR="00F452AA">
        <w:rPr>
          <w:iCs/>
        </w:rPr>
        <w:t xml:space="preserve">at </w:t>
      </w:r>
      <w:r w:rsidR="00573438">
        <w:rPr>
          <w:iCs/>
        </w:rPr>
        <w:t xml:space="preserve">begrænse </w:t>
      </w:r>
      <w:r w:rsidR="00DD1C7E">
        <w:rPr>
          <w:iCs/>
        </w:rPr>
        <w:t xml:space="preserve">brugere af </w:t>
      </w:r>
      <w:r w:rsidR="00CE300A">
        <w:rPr>
          <w:iCs/>
        </w:rPr>
        <w:t>systemet</w:t>
      </w:r>
      <w:r w:rsidR="00573438">
        <w:rPr>
          <w:iCs/>
        </w:rPr>
        <w:t xml:space="preserve"> </w:t>
      </w:r>
      <w:r w:rsidR="00DD1C7E">
        <w:rPr>
          <w:iCs/>
        </w:rPr>
        <w:t xml:space="preserve">til personer, der har gennemgået relevante </w:t>
      </w:r>
      <w:proofErr w:type="spellStart"/>
      <w:r w:rsidR="00DD1C7E">
        <w:rPr>
          <w:iCs/>
        </w:rPr>
        <w:t>onboarding</w:t>
      </w:r>
      <w:proofErr w:type="spellEnd"/>
      <w:r w:rsidR="00F452AA">
        <w:rPr>
          <w:iCs/>
        </w:rPr>
        <w:t>-</w:t>
      </w:r>
      <w:r w:rsidR="00DD1C7E">
        <w:rPr>
          <w:iCs/>
        </w:rPr>
        <w:t>processer.</w:t>
      </w:r>
      <w:r>
        <w:t xml:space="preserve"> </w:t>
      </w:r>
      <w:r w:rsidR="00560418">
        <w:t xml:space="preserve">På samme måde kan </w:t>
      </w:r>
      <w:r w:rsidR="00560418">
        <w:rPr>
          <w:iCs/>
        </w:rPr>
        <w:t>a</w:t>
      </w:r>
      <w:r w:rsidR="00DD1C7E">
        <w:rPr>
          <w:iCs/>
        </w:rPr>
        <w:t xml:space="preserve">dgangsmekanismer </w:t>
      </w:r>
      <w:r w:rsidR="00560418">
        <w:rPr>
          <w:iCs/>
        </w:rPr>
        <w:t>opstille</w:t>
      </w:r>
      <w:r w:rsidR="00DD1C7E">
        <w:rPr>
          <w:iCs/>
        </w:rPr>
        <w:t xml:space="preserve"> betingelser for</w:t>
      </w:r>
      <w:r w:rsidR="006B7A81">
        <w:rPr>
          <w:iCs/>
        </w:rPr>
        <w:t>,</w:t>
      </w:r>
      <w:r w:rsidR="00DD1C7E">
        <w:rPr>
          <w:iCs/>
        </w:rPr>
        <w:t xml:space="preserve"> hvornår deltagelsen i DLT-</w:t>
      </w:r>
      <w:r w:rsidR="00CE300A">
        <w:rPr>
          <w:iCs/>
        </w:rPr>
        <w:t xml:space="preserve">systemet </w:t>
      </w:r>
      <w:r w:rsidR="00DD1C7E">
        <w:rPr>
          <w:iCs/>
        </w:rPr>
        <w:t xml:space="preserve">kan afbrydes. Kontrol over adgangsmekanismerne </w:t>
      </w:r>
      <w:r w:rsidR="00560418">
        <w:rPr>
          <w:iCs/>
        </w:rPr>
        <w:t>i</w:t>
      </w:r>
      <w:r w:rsidR="00DD1C7E">
        <w:rPr>
          <w:iCs/>
        </w:rPr>
        <w:t xml:space="preserve"> e</w:t>
      </w:r>
      <w:r w:rsidR="00CE300A">
        <w:rPr>
          <w:iCs/>
        </w:rPr>
        <w:t>t</w:t>
      </w:r>
      <w:r w:rsidR="00DD1C7E">
        <w:rPr>
          <w:iCs/>
        </w:rPr>
        <w:t xml:space="preserve"> DLT-</w:t>
      </w:r>
      <w:r w:rsidR="00CE300A">
        <w:rPr>
          <w:iCs/>
        </w:rPr>
        <w:t xml:space="preserve">system </w:t>
      </w:r>
      <w:r w:rsidR="00560418">
        <w:rPr>
          <w:iCs/>
        </w:rPr>
        <w:t>er dermed</w:t>
      </w:r>
      <w:r w:rsidR="00DD1C7E">
        <w:rPr>
          <w:iCs/>
        </w:rPr>
        <w:t xml:space="preserve"> også en indikation på </w:t>
      </w:r>
      <w:proofErr w:type="spellStart"/>
      <w:r w:rsidR="00DD1C7E">
        <w:rPr>
          <w:iCs/>
        </w:rPr>
        <w:t>centralitet</w:t>
      </w:r>
      <w:proofErr w:type="spellEnd"/>
      <w:r w:rsidR="00DD1C7E">
        <w:rPr>
          <w:iCs/>
        </w:rPr>
        <w:t xml:space="preserve">. </w:t>
      </w:r>
    </w:p>
    <w:p w14:paraId="38AF7154" w14:textId="77777777" w:rsidR="00DD1C7E" w:rsidRDefault="00DD1C7E" w:rsidP="0041342F">
      <w:pPr>
        <w:rPr>
          <w:iCs/>
        </w:rPr>
      </w:pPr>
    </w:p>
    <w:p w14:paraId="3BF3D9E9" w14:textId="58DECA72" w:rsidR="00FE5DDB" w:rsidRDefault="00FC2467" w:rsidP="0041342F">
      <w:r>
        <w:rPr>
          <w:iCs/>
        </w:rPr>
        <w:t xml:space="preserve">Indretningen </w:t>
      </w:r>
      <w:r w:rsidR="00F452AA">
        <w:rPr>
          <w:iCs/>
        </w:rPr>
        <w:t xml:space="preserve">af </w:t>
      </w:r>
      <w:r>
        <w:rPr>
          <w:iCs/>
        </w:rPr>
        <w:t>adgangsmekanismer for private DLT-</w:t>
      </w:r>
      <w:r w:rsidR="00CE300A">
        <w:rPr>
          <w:iCs/>
        </w:rPr>
        <w:t>systemer</w:t>
      </w:r>
      <w:r w:rsidR="00003EE0">
        <w:rPr>
          <w:iCs/>
        </w:rPr>
        <w:t xml:space="preserve"> </w:t>
      </w:r>
      <w:r>
        <w:rPr>
          <w:iCs/>
        </w:rPr>
        <w:t xml:space="preserve">er </w:t>
      </w:r>
      <w:r w:rsidR="00BC457D">
        <w:rPr>
          <w:iCs/>
        </w:rPr>
        <w:t>bl.a.</w:t>
      </w:r>
      <w:r>
        <w:rPr>
          <w:iCs/>
        </w:rPr>
        <w:t xml:space="preserve"> relevant</w:t>
      </w:r>
      <w:r w:rsidR="00BC457D">
        <w:rPr>
          <w:iCs/>
        </w:rPr>
        <w:t>e</w:t>
      </w:r>
      <w:r>
        <w:rPr>
          <w:iCs/>
        </w:rPr>
        <w:t xml:space="preserve"> </w:t>
      </w:r>
      <w:r w:rsidR="00BF099E">
        <w:rPr>
          <w:iCs/>
        </w:rPr>
        <w:t>for</w:t>
      </w:r>
      <w:r w:rsidR="00DD1C7E">
        <w:rPr>
          <w:iCs/>
        </w:rPr>
        <w:t xml:space="preserve"> vurderingen af, om </w:t>
      </w:r>
      <w:r w:rsidR="00F452AA">
        <w:rPr>
          <w:iCs/>
        </w:rPr>
        <w:t xml:space="preserve">ansvaret for teknisk decentrale regulerede aktiviteter kan henføres til et </w:t>
      </w:r>
      <w:proofErr w:type="spellStart"/>
      <w:r w:rsidR="00F452AA">
        <w:rPr>
          <w:iCs/>
        </w:rPr>
        <w:t>retssubjekt</w:t>
      </w:r>
      <w:proofErr w:type="spellEnd"/>
      <w:r w:rsidR="00003EE0">
        <w:rPr>
          <w:rStyle w:val="Fodnotehenvisning"/>
          <w:iCs/>
        </w:rPr>
        <w:footnoteReference w:id="12"/>
      </w:r>
      <w:r w:rsidR="00DD1C7E">
        <w:rPr>
          <w:iCs/>
        </w:rPr>
        <w:t xml:space="preserve">. </w:t>
      </w:r>
      <w:r w:rsidR="00CE300A">
        <w:rPr>
          <w:iCs/>
        </w:rPr>
        <w:t xml:space="preserve">Kontrol over </w:t>
      </w:r>
      <w:r w:rsidR="0041342F">
        <w:rPr>
          <w:iCs/>
        </w:rPr>
        <w:t>ramme</w:t>
      </w:r>
      <w:r w:rsidR="00DD1C7E">
        <w:rPr>
          <w:iCs/>
        </w:rPr>
        <w:t>rne</w:t>
      </w:r>
      <w:r w:rsidR="0041342F">
        <w:rPr>
          <w:iCs/>
        </w:rPr>
        <w:t xml:space="preserve"> for </w:t>
      </w:r>
      <w:r w:rsidR="00DD1C7E">
        <w:rPr>
          <w:iCs/>
        </w:rPr>
        <w:t>bruger</w:t>
      </w:r>
      <w:r w:rsidR="00BF099E">
        <w:rPr>
          <w:iCs/>
        </w:rPr>
        <w:t>n</w:t>
      </w:r>
      <w:r w:rsidR="00DD1C7E">
        <w:rPr>
          <w:iCs/>
        </w:rPr>
        <w:t xml:space="preserve">es </w:t>
      </w:r>
      <w:r w:rsidR="0041342F">
        <w:rPr>
          <w:iCs/>
        </w:rPr>
        <w:t>deltagelse</w:t>
      </w:r>
      <w:r w:rsidR="00BC457D">
        <w:rPr>
          <w:iCs/>
        </w:rPr>
        <w:t xml:space="preserve"> i </w:t>
      </w:r>
      <w:r w:rsidR="00CE300A">
        <w:rPr>
          <w:iCs/>
        </w:rPr>
        <w:t>systemet</w:t>
      </w:r>
      <w:r w:rsidR="00BF099E">
        <w:rPr>
          <w:iCs/>
        </w:rPr>
        <w:t xml:space="preserve"> </w:t>
      </w:r>
      <w:r w:rsidR="00FE5DDB">
        <w:rPr>
          <w:iCs/>
        </w:rPr>
        <w:t xml:space="preserve">kan </w:t>
      </w:r>
      <w:r w:rsidR="00BF099E">
        <w:rPr>
          <w:iCs/>
        </w:rPr>
        <w:t xml:space="preserve">omfatte </w:t>
      </w:r>
      <w:r w:rsidR="00BC457D">
        <w:rPr>
          <w:iCs/>
        </w:rPr>
        <w:t xml:space="preserve">en </w:t>
      </w:r>
      <w:r w:rsidR="00242C59">
        <w:rPr>
          <w:iCs/>
        </w:rPr>
        <w:t>råderet</w:t>
      </w:r>
      <w:r w:rsidR="00FE5DDB">
        <w:rPr>
          <w:iCs/>
        </w:rPr>
        <w:t xml:space="preserve"> over</w:t>
      </w:r>
      <w:r w:rsidR="00A51ED5">
        <w:rPr>
          <w:iCs/>
        </w:rPr>
        <w:t>,</w:t>
      </w:r>
      <w:r w:rsidR="00FE5DDB">
        <w:rPr>
          <w:iCs/>
        </w:rPr>
        <w:t xml:space="preserve"> hvilke smartkontrakter der kan tilgængelig</w:t>
      </w:r>
      <w:r w:rsidR="00B63782">
        <w:rPr>
          <w:iCs/>
        </w:rPr>
        <w:t>gøres i systemet</w:t>
      </w:r>
      <w:r w:rsidR="00A51ED5">
        <w:rPr>
          <w:iCs/>
        </w:rPr>
        <w:t>,</w:t>
      </w:r>
      <w:r w:rsidR="00FE5DDB">
        <w:rPr>
          <w:iCs/>
        </w:rPr>
        <w:t xml:space="preserve"> </w:t>
      </w:r>
      <w:r w:rsidR="00B63782">
        <w:rPr>
          <w:iCs/>
        </w:rPr>
        <w:t>men også en råderet over</w:t>
      </w:r>
      <w:r w:rsidR="0052660B">
        <w:rPr>
          <w:iCs/>
        </w:rPr>
        <w:t>,</w:t>
      </w:r>
      <w:r w:rsidR="00B63782">
        <w:rPr>
          <w:iCs/>
        </w:rPr>
        <w:t xml:space="preserve"> </w:t>
      </w:r>
      <w:r w:rsidR="00FE5DDB">
        <w:rPr>
          <w:iCs/>
        </w:rPr>
        <w:t xml:space="preserve">hvilke smartkontrakter brugere af systemet kan få adgang til. Kontrol over adgangsmekanismen for deltagelse i driften kan også have betydning. </w:t>
      </w:r>
      <w:r w:rsidR="0094120F">
        <w:rPr>
          <w:iCs/>
        </w:rPr>
        <w:t>Det kan f</w:t>
      </w:r>
      <w:r>
        <w:rPr>
          <w:iCs/>
        </w:rPr>
        <w:t>.eks.</w:t>
      </w:r>
      <w:r w:rsidR="00FE5DDB">
        <w:rPr>
          <w:iCs/>
        </w:rPr>
        <w:t xml:space="preserve"> </w:t>
      </w:r>
      <w:r w:rsidR="0094120F">
        <w:rPr>
          <w:iCs/>
        </w:rPr>
        <w:t xml:space="preserve">være </w:t>
      </w:r>
      <w:r w:rsidR="00FE5DDB">
        <w:rPr>
          <w:iCs/>
        </w:rPr>
        <w:t xml:space="preserve">i tilfælde, hvor </w:t>
      </w:r>
      <w:r>
        <w:rPr>
          <w:iCs/>
        </w:rPr>
        <w:t>personer</w:t>
      </w:r>
      <w:r w:rsidR="00A51ED5">
        <w:rPr>
          <w:iCs/>
        </w:rPr>
        <w:t>,</w:t>
      </w:r>
      <w:r>
        <w:rPr>
          <w:iCs/>
        </w:rPr>
        <w:t xml:space="preserve"> der driver </w:t>
      </w:r>
      <w:proofErr w:type="spellStart"/>
      <w:r>
        <w:rPr>
          <w:iCs/>
        </w:rPr>
        <w:t>netknudepunkter</w:t>
      </w:r>
      <w:proofErr w:type="spellEnd"/>
      <w:r w:rsidR="00A51ED5">
        <w:rPr>
          <w:iCs/>
        </w:rPr>
        <w:t>,</w:t>
      </w:r>
      <w:r>
        <w:rPr>
          <w:iCs/>
        </w:rPr>
        <w:t xml:space="preserve"> </w:t>
      </w:r>
      <w:r w:rsidR="00FE5DDB">
        <w:rPr>
          <w:iCs/>
        </w:rPr>
        <w:t xml:space="preserve">opnår særlige rettigheder </w:t>
      </w:r>
      <w:r w:rsidR="0094120F">
        <w:rPr>
          <w:iCs/>
        </w:rPr>
        <w:t>til</w:t>
      </w:r>
      <w:r w:rsidR="00FE5DDB">
        <w:rPr>
          <w:iCs/>
        </w:rPr>
        <w:t xml:space="preserve"> registrering og omgørelser af registreringer i </w:t>
      </w:r>
      <w:r w:rsidR="00BC457D">
        <w:rPr>
          <w:iCs/>
        </w:rPr>
        <w:t>d</w:t>
      </w:r>
      <w:r w:rsidR="00FE5DDB">
        <w:rPr>
          <w:iCs/>
        </w:rPr>
        <w:t>en distribuere</w:t>
      </w:r>
      <w:r w:rsidR="00BC457D">
        <w:rPr>
          <w:iCs/>
        </w:rPr>
        <w:t>de</w:t>
      </w:r>
      <w:r w:rsidR="00FE5DDB">
        <w:rPr>
          <w:iCs/>
        </w:rPr>
        <w:t xml:space="preserve"> hovedbog. </w:t>
      </w:r>
      <w:r w:rsidRPr="004C6DA2">
        <w:t>Forhold</w:t>
      </w:r>
      <w:r>
        <w:t xml:space="preserve"> som disse kendetegner umiddelbart ikke konventionelle blockchains. </w:t>
      </w:r>
      <w:proofErr w:type="spellStart"/>
      <w:r>
        <w:t>Ethereum</w:t>
      </w:r>
      <w:proofErr w:type="spellEnd"/>
      <w:r>
        <w:t xml:space="preserve"> s</w:t>
      </w:r>
      <w:r w:rsidR="007139AD">
        <w:t>tiller</w:t>
      </w:r>
      <w:r>
        <w:t xml:space="preserve"> f.eks. </w:t>
      </w:r>
      <w:r w:rsidR="007139AD">
        <w:t xml:space="preserve">alene </w:t>
      </w:r>
      <w:r>
        <w:t>formatmæssige krav</w:t>
      </w:r>
      <w:r w:rsidR="007139AD">
        <w:t>,</w:t>
      </w:r>
      <w:r>
        <w:t xml:space="preserve"> </w:t>
      </w:r>
      <w:r w:rsidR="00C026DD">
        <w:t xml:space="preserve">der sikrer, </w:t>
      </w:r>
      <w:r>
        <w:t xml:space="preserve">at de udviklede smartkontrakter er kompatible med </w:t>
      </w:r>
      <w:r w:rsidR="00CE300A">
        <w:t>systemet</w:t>
      </w:r>
      <w:r>
        <w:t>.</w:t>
      </w:r>
    </w:p>
    <w:p w14:paraId="5C555F0B" w14:textId="77777777" w:rsidR="007741FA" w:rsidRDefault="007741FA" w:rsidP="0041342F"/>
    <w:p w14:paraId="01FC094D" w14:textId="131F7CBC" w:rsidR="007741FA" w:rsidRDefault="007741FA" w:rsidP="007741FA">
      <w:pPr>
        <w:pStyle w:val="Overskrift3"/>
      </w:pPr>
      <w:r>
        <w:rPr>
          <w:rFonts w:eastAsia="Arial"/>
        </w:rPr>
        <w:t xml:space="preserve">5.2.2.3. </w:t>
      </w:r>
      <w:r w:rsidRPr="000963B5">
        <w:rPr>
          <w:rFonts w:eastAsia="Arial"/>
        </w:rPr>
        <w:t>Koncentration af beslutningskompetencer</w:t>
      </w:r>
    </w:p>
    <w:p w14:paraId="5F1D5078" w14:textId="0EDF7883" w:rsidR="007741FA" w:rsidRDefault="007741FA" w:rsidP="0041342F">
      <w:r>
        <w:rPr>
          <w:iCs/>
        </w:rPr>
        <w:t xml:space="preserve">Selvom rammerne for </w:t>
      </w:r>
      <w:proofErr w:type="spellStart"/>
      <w:r>
        <w:rPr>
          <w:iCs/>
        </w:rPr>
        <w:t>decentralitet</w:t>
      </w:r>
      <w:proofErr w:type="spellEnd"/>
      <w:r>
        <w:rPr>
          <w:iCs/>
        </w:rPr>
        <w:t xml:space="preserve"> er til stede, betyder det ikke, at et eller flere </w:t>
      </w:r>
      <w:proofErr w:type="spellStart"/>
      <w:r>
        <w:rPr>
          <w:iCs/>
        </w:rPr>
        <w:t>retssubjekter</w:t>
      </w:r>
      <w:proofErr w:type="spellEnd"/>
      <w:r>
        <w:rPr>
          <w:iCs/>
        </w:rPr>
        <w:t xml:space="preserve"> ikke kan have kontrol over forhold i systemet, der i praksis taler for </w:t>
      </w:r>
      <w:proofErr w:type="spellStart"/>
      <w:r>
        <w:rPr>
          <w:iCs/>
        </w:rPr>
        <w:t>centralitet</w:t>
      </w:r>
      <w:proofErr w:type="spellEnd"/>
      <w:r>
        <w:rPr>
          <w:iCs/>
        </w:rPr>
        <w:t>.</w:t>
      </w:r>
    </w:p>
    <w:p w14:paraId="0801B21A" w14:textId="3D527BB1" w:rsidR="0041342F" w:rsidRDefault="00F71F99" w:rsidP="0041342F">
      <w:r>
        <w:rPr>
          <w:noProof/>
        </w:rPr>
        <mc:AlternateContent>
          <mc:Choice Requires="wps">
            <w:drawing>
              <wp:anchor distT="0" distB="0" distL="114300" distR="114300" simplePos="0" relativeHeight="251662336" behindDoc="0" locked="0" layoutInCell="1" allowOverlap="1" wp14:anchorId="0EBA9237" wp14:editId="6FA58E56">
                <wp:simplePos x="0" y="0"/>
                <wp:positionH relativeFrom="column">
                  <wp:posOffset>200025</wp:posOffset>
                </wp:positionH>
                <wp:positionV relativeFrom="paragraph">
                  <wp:posOffset>172085</wp:posOffset>
                </wp:positionV>
                <wp:extent cx="4859655" cy="899795"/>
                <wp:effectExtent l="0" t="0" r="0" b="0"/>
                <wp:wrapNone/>
                <wp:docPr id="1459643165" name="Rektangel: afrundede hjørne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899795"/>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05C3DA24" w14:textId="5EC284F4" w:rsidR="0041342F" w:rsidRPr="000963B5" w:rsidRDefault="00557883" w:rsidP="0041342F">
                            <w:pPr>
                              <w:spacing w:line="279" w:lineRule="auto"/>
                              <w:textDirection w:val="btLr"/>
                              <w:rPr>
                                <w:i/>
                                <w:iCs/>
                              </w:rPr>
                            </w:pPr>
                            <w:r>
                              <w:rPr>
                                <w:rFonts w:eastAsia="Arial" w:cs="Arial"/>
                                <w:i/>
                                <w:iCs/>
                                <w:color w:val="000000"/>
                              </w:rPr>
                              <w:t>Finanstilsynet</w:t>
                            </w:r>
                            <w:r w:rsidR="0041342F" w:rsidRPr="000963B5">
                              <w:rPr>
                                <w:rFonts w:eastAsia="Arial" w:cs="Arial"/>
                                <w:i/>
                                <w:iCs/>
                                <w:color w:val="000000"/>
                              </w:rPr>
                              <w:t xml:space="preserve"> vurdere</w:t>
                            </w:r>
                            <w:r>
                              <w:rPr>
                                <w:rFonts w:eastAsia="Arial" w:cs="Arial"/>
                                <w:i/>
                                <w:iCs/>
                                <w:color w:val="000000"/>
                              </w:rPr>
                              <w:t>r</w:t>
                            </w:r>
                            <w:r w:rsidR="0041342F" w:rsidRPr="000963B5">
                              <w:rPr>
                                <w:rFonts w:eastAsia="Arial" w:cs="Arial"/>
                                <w:i/>
                                <w:iCs/>
                                <w:color w:val="000000"/>
                              </w:rPr>
                              <w:t xml:space="preserve">, om </w:t>
                            </w:r>
                            <w:r w:rsidR="000963B5">
                              <w:rPr>
                                <w:rFonts w:eastAsia="Arial" w:cs="Arial"/>
                                <w:i/>
                                <w:iCs/>
                                <w:color w:val="000000"/>
                              </w:rPr>
                              <w:t xml:space="preserve">et eller flere </w:t>
                            </w:r>
                            <w:proofErr w:type="spellStart"/>
                            <w:r w:rsidR="0041342F" w:rsidRPr="000963B5">
                              <w:rPr>
                                <w:rFonts w:eastAsia="Arial" w:cs="Arial"/>
                                <w:i/>
                                <w:iCs/>
                                <w:color w:val="000000"/>
                              </w:rPr>
                              <w:t>retssubjekt</w:t>
                            </w:r>
                            <w:r w:rsidR="00275CA8">
                              <w:rPr>
                                <w:rFonts w:eastAsia="Arial" w:cs="Arial"/>
                                <w:i/>
                                <w:iCs/>
                                <w:color w:val="000000"/>
                              </w:rPr>
                              <w:t>er</w:t>
                            </w:r>
                            <w:proofErr w:type="spellEnd"/>
                            <w:r w:rsidR="0041342F" w:rsidRPr="000963B5">
                              <w:rPr>
                                <w:rFonts w:eastAsia="Arial" w:cs="Arial"/>
                                <w:i/>
                                <w:iCs/>
                                <w:color w:val="000000"/>
                              </w:rPr>
                              <w:t xml:space="preserve"> </w:t>
                            </w:r>
                            <w:r w:rsidR="00DC41D3">
                              <w:rPr>
                                <w:rFonts w:eastAsia="Arial" w:cs="Arial"/>
                                <w:i/>
                                <w:iCs/>
                                <w:color w:val="000000"/>
                              </w:rPr>
                              <w:t>ha</w:t>
                            </w:r>
                            <w:r w:rsidR="0041342F" w:rsidRPr="000963B5">
                              <w:rPr>
                                <w:rFonts w:eastAsia="Arial" w:cs="Arial"/>
                                <w:i/>
                                <w:iCs/>
                                <w:color w:val="000000"/>
                              </w:rPr>
                              <w:t>r beslutningskompetencer i et omfang, der i praksis medfører, at de disponere</w:t>
                            </w:r>
                            <w:r w:rsidR="000963B5">
                              <w:rPr>
                                <w:rFonts w:eastAsia="Arial" w:cs="Arial"/>
                                <w:i/>
                                <w:iCs/>
                                <w:color w:val="000000"/>
                              </w:rPr>
                              <w:t>r</w:t>
                            </w:r>
                            <w:r w:rsidR="0041342F" w:rsidRPr="000963B5">
                              <w:rPr>
                                <w:rFonts w:eastAsia="Arial" w:cs="Arial"/>
                                <w:i/>
                                <w:iCs/>
                                <w:color w:val="000000"/>
                              </w:rPr>
                              <w:t xml:space="preserve"> over udbuddet af regulerede aktiviteter i</w:t>
                            </w:r>
                            <w:r w:rsidR="00275CA8">
                              <w:rPr>
                                <w:rFonts w:eastAsia="Arial" w:cs="Arial"/>
                                <w:i/>
                                <w:iCs/>
                                <w:color w:val="000000"/>
                              </w:rPr>
                              <w:t xml:space="preserve"> e</w:t>
                            </w:r>
                            <w:r w:rsidR="00005395">
                              <w:rPr>
                                <w:rFonts w:eastAsia="Arial" w:cs="Arial"/>
                                <w:i/>
                                <w:iCs/>
                                <w:color w:val="000000"/>
                              </w:rPr>
                              <w:t>t</w:t>
                            </w:r>
                            <w:r w:rsidR="00275CA8">
                              <w:rPr>
                                <w:rFonts w:eastAsia="Arial" w:cs="Arial"/>
                                <w:i/>
                                <w:iCs/>
                                <w:color w:val="000000"/>
                              </w:rPr>
                              <w:t xml:space="preserve"> ellers decentral</w:t>
                            </w:r>
                            <w:r w:rsidR="00005395">
                              <w:rPr>
                                <w:rFonts w:eastAsia="Arial" w:cs="Arial"/>
                                <w:i/>
                                <w:iCs/>
                                <w:color w:val="000000"/>
                              </w:rPr>
                              <w:t>t</w:t>
                            </w:r>
                            <w:r w:rsidR="0041342F" w:rsidRPr="000963B5">
                              <w:rPr>
                                <w:rFonts w:eastAsia="Arial" w:cs="Arial"/>
                                <w:i/>
                                <w:iCs/>
                                <w:color w:val="000000"/>
                              </w:rPr>
                              <w:t xml:space="preserve"> DLT-</w:t>
                            </w:r>
                            <w:r w:rsidR="00005395">
                              <w:rPr>
                                <w:rFonts w:eastAsia="Arial" w:cs="Arial"/>
                                <w:i/>
                                <w:iCs/>
                                <w:color w:val="000000"/>
                              </w:rPr>
                              <w:t>system</w:t>
                            </w:r>
                            <w:r w:rsidR="0041342F" w:rsidRPr="000963B5">
                              <w:rPr>
                                <w:rFonts w:eastAsia="Arial" w:cs="Arial"/>
                                <w:i/>
                                <w:iCs/>
                                <w:color w:val="000000"/>
                              </w:rPr>
                              <w:t xml:space="preserve">. En </w:t>
                            </w:r>
                            <w:r w:rsidR="00351ACC">
                              <w:rPr>
                                <w:rFonts w:eastAsia="Arial" w:cs="Arial"/>
                                <w:i/>
                                <w:iCs/>
                                <w:color w:val="000000"/>
                              </w:rPr>
                              <w:t xml:space="preserve">mere koncentreret </w:t>
                            </w:r>
                            <w:r w:rsidR="0041342F" w:rsidRPr="000963B5">
                              <w:rPr>
                                <w:rFonts w:eastAsia="Arial" w:cs="Arial"/>
                                <w:i/>
                                <w:iCs/>
                                <w:color w:val="000000"/>
                              </w:rPr>
                              <w:t>fordeling af beslutningskompetencer øger alt andet lige graden af</w:t>
                            </w:r>
                            <w:r w:rsidR="00351ACC">
                              <w:rPr>
                                <w:rFonts w:eastAsia="Arial" w:cs="Arial"/>
                                <w:i/>
                                <w:iCs/>
                                <w:color w:val="000000"/>
                              </w:rPr>
                              <w:t xml:space="preserve"> </w:t>
                            </w:r>
                            <w:proofErr w:type="spellStart"/>
                            <w:r w:rsidR="00351ACC">
                              <w:rPr>
                                <w:rFonts w:eastAsia="Arial" w:cs="Arial"/>
                                <w:i/>
                                <w:iCs/>
                                <w:color w:val="000000"/>
                              </w:rPr>
                              <w:t>centralitet</w:t>
                            </w:r>
                            <w:proofErr w:type="spellEnd"/>
                            <w:r w:rsidR="0041342F" w:rsidRPr="000963B5">
                              <w:rPr>
                                <w:rFonts w:eastAsia="Arial" w:cs="Arial"/>
                                <w:i/>
                                <w:iCs/>
                                <w:color w:val="000000"/>
                              </w:rPr>
                              <w:t xml:space="preserve">. </w:t>
                            </w:r>
                          </w:p>
                          <w:p w14:paraId="45945D49" w14:textId="77777777" w:rsidR="0041342F" w:rsidRDefault="0041342F" w:rsidP="0041342F">
                            <w:pPr>
                              <w:spacing w:line="279" w:lineRule="auto"/>
                              <w:textDirection w:val="btLr"/>
                            </w:pPr>
                          </w:p>
                          <w:p w14:paraId="67CB9AED" w14:textId="77777777" w:rsidR="0041342F" w:rsidRDefault="0041342F" w:rsidP="0041342F">
                            <w:pPr>
                              <w:spacing w:line="279" w:lineRule="auto"/>
                              <w:textDirection w:val="btLr"/>
                            </w:pPr>
                          </w:p>
                          <w:p w14:paraId="09035509" w14:textId="77777777" w:rsidR="0041342F" w:rsidRDefault="0041342F" w:rsidP="0041342F">
                            <w:pPr>
                              <w:spacing w:line="279" w:lineRule="auto"/>
                              <w:textDirection w:val="btLr"/>
                            </w:pPr>
                          </w:p>
                          <w:p w14:paraId="5FE1F310" w14:textId="77777777" w:rsidR="0041342F" w:rsidRDefault="0041342F" w:rsidP="0041342F">
                            <w:pPr>
                              <w:spacing w:line="279" w:lineRule="auto"/>
                              <w:textDirection w:val="btLr"/>
                            </w:pPr>
                            <w:r>
                              <w:rPr>
                                <w:rFonts w:eastAsia="Arial" w:cs="Arial"/>
                                <w:color w:val="000000"/>
                              </w:rPr>
                              <w:t xml:space="preserve">Udbuddet af et DLT-system kan i udgangspunktet ikke anses som decentralt, </w:t>
                            </w:r>
                          </w:p>
                          <w:p w14:paraId="7A36A0E0" w14:textId="77777777" w:rsidR="0041342F" w:rsidRDefault="0041342F" w:rsidP="0041342F">
                            <w:pPr>
                              <w:spacing w:line="279"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EBA9237" id="Rektangel: afrundede hjørner 4" o:spid="_x0000_s1034" style="position:absolute;left:0;text-align:left;margin-left:15.75pt;margin-top:13.55pt;width:382.6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" fillcolor="#f2f2f2">
                <v:stroke startarrowwidth="narrow" startarrowlength="short" endarrowwidth="narrow" endarrowlength="short"/>
                <v:textbox inset="2.53958mm,1.2694mm,2.53958mm,1.2694mm">
                  <w:txbxContent>
                    <w:p w14:paraId="05C3DA24" w14:textId="5EC284F4" w:rsidR="0041342F" w:rsidRPr="000963B5" w:rsidRDefault="00557883" w:rsidP="0041342F">
                      <w:pPr>
                        <w:spacing w:line="279" w:lineRule="auto"/>
                        <w:textDirection w:val="btLr"/>
                        <w:rPr>
                          <w:i/>
                          <w:iCs/>
                        </w:rPr>
                      </w:pPr>
                      <w:r>
                        <w:rPr>
                          <w:rFonts w:eastAsia="Arial" w:cs="Arial"/>
                          <w:i/>
                          <w:iCs/>
                          <w:color w:val="000000"/>
                        </w:rPr>
                        <w:t>Finanstilsynet</w:t>
                      </w:r>
                      <w:r w:rsidR="0041342F" w:rsidRPr="000963B5">
                        <w:rPr>
                          <w:rFonts w:eastAsia="Arial" w:cs="Arial"/>
                          <w:i/>
                          <w:iCs/>
                          <w:color w:val="000000"/>
                        </w:rPr>
                        <w:t xml:space="preserve"> vurdere</w:t>
                      </w:r>
                      <w:r>
                        <w:rPr>
                          <w:rFonts w:eastAsia="Arial" w:cs="Arial"/>
                          <w:i/>
                          <w:iCs/>
                          <w:color w:val="000000"/>
                        </w:rPr>
                        <w:t>r</w:t>
                      </w:r>
                      <w:r w:rsidR="0041342F" w:rsidRPr="000963B5">
                        <w:rPr>
                          <w:rFonts w:eastAsia="Arial" w:cs="Arial"/>
                          <w:i/>
                          <w:iCs/>
                          <w:color w:val="000000"/>
                        </w:rPr>
                        <w:t xml:space="preserve">, om </w:t>
                      </w:r>
                      <w:r w:rsidR="000963B5">
                        <w:rPr>
                          <w:rFonts w:eastAsia="Arial" w:cs="Arial"/>
                          <w:i/>
                          <w:iCs/>
                          <w:color w:val="000000"/>
                        </w:rPr>
                        <w:t xml:space="preserve">et eller flere </w:t>
                      </w:r>
                      <w:r w:rsidR="0041342F" w:rsidRPr="000963B5">
                        <w:rPr>
                          <w:rFonts w:eastAsia="Arial" w:cs="Arial"/>
                          <w:i/>
                          <w:iCs/>
                          <w:color w:val="000000"/>
                        </w:rPr>
                        <w:t>retssubjekt</w:t>
                      </w:r>
                      <w:r w:rsidR="00275CA8">
                        <w:rPr>
                          <w:rFonts w:eastAsia="Arial" w:cs="Arial"/>
                          <w:i/>
                          <w:iCs/>
                          <w:color w:val="000000"/>
                        </w:rPr>
                        <w:t>er</w:t>
                      </w:r>
                      <w:r w:rsidR="0041342F" w:rsidRPr="000963B5">
                        <w:rPr>
                          <w:rFonts w:eastAsia="Arial" w:cs="Arial"/>
                          <w:i/>
                          <w:iCs/>
                          <w:color w:val="000000"/>
                        </w:rPr>
                        <w:t xml:space="preserve"> </w:t>
                      </w:r>
                      <w:r w:rsidR="00DC41D3">
                        <w:rPr>
                          <w:rFonts w:eastAsia="Arial" w:cs="Arial"/>
                          <w:i/>
                          <w:iCs/>
                          <w:color w:val="000000"/>
                        </w:rPr>
                        <w:t>ha</w:t>
                      </w:r>
                      <w:r w:rsidR="0041342F" w:rsidRPr="000963B5">
                        <w:rPr>
                          <w:rFonts w:eastAsia="Arial" w:cs="Arial"/>
                          <w:i/>
                          <w:iCs/>
                          <w:color w:val="000000"/>
                        </w:rPr>
                        <w:t>r beslutningskompetencer i et omfang, der i praksis medfører, at de disponere</w:t>
                      </w:r>
                      <w:r w:rsidR="000963B5">
                        <w:rPr>
                          <w:rFonts w:eastAsia="Arial" w:cs="Arial"/>
                          <w:i/>
                          <w:iCs/>
                          <w:color w:val="000000"/>
                        </w:rPr>
                        <w:t>r</w:t>
                      </w:r>
                      <w:r w:rsidR="0041342F" w:rsidRPr="000963B5">
                        <w:rPr>
                          <w:rFonts w:eastAsia="Arial" w:cs="Arial"/>
                          <w:i/>
                          <w:iCs/>
                          <w:color w:val="000000"/>
                        </w:rPr>
                        <w:t xml:space="preserve"> over udbuddet af regulerede aktiviteter i</w:t>
                      </w:r>
                      <w:r w:rsidR="00275CA8">
                        <w:rPr>
                          <w:rFonts w:eastAsia="Arial" w:cs="Arial"/>
                          <w:i/>
                          <w:iCs/>
                          <w:color w:val="000000"/>
                        </w:rPr>
                        <w:t xml:space="preserve"> e</w:t>
                      </w:r>
                      <w:r w:rsidR="00005395">
                        <w:rPr>
                          <w:rFonts w:eastAsia="Arial" w:cs="Arial"/>
                          <w:i/>
                          <w:iCs/>
                          <w:color w:val="000000"/>
                        </w:rPr>
                        <w:t>t</w:t>
                      </w:r>
                      <w:r w:rsidR="00275CA8">
                        <w:rPr>
                          <w:rFonts w:eastAsia="Arial" w:cs="Arial"/>
                          <w:i/>
                          <w:iCs/>
                          <w:color w:val="000000"/>
                        </w:rPr>
                        <w:t xml:space="preserve"> ellers decentral</w:t>
                      </w:r>
                      <w:r w:rsidR="00005395">
                        <w:rPr>
                          <w:rFonts w:eastAsia="Arial" w:cs="Arial"/>
                          <w:i/>
                          <w:iCs/>
                          <w:color w:val="000000"/>
                        </w:rPr>
                        <w:t>t</w:t>
                      </w:r>
                      <w:r w:rsidR="0041342F" w:rsidRPr="000963B5">
                        <w:rPr>
                          <w:rFonts w:eastAsia="Arial" w:cs="Arial"/>
                          <w:i/>
                          <w:iCs/>
                          <w:color w:val="000000"/>
                        </w:rPr>
                        <w:t xml:space="preserve"> DLT-</w:t>
                      </w:r>
                      <w:r w:rsidR="00005395">
                        <w:rPr>
                          <w:rFonts w:eastAsia="Arial" w:cs="Arial"/>
                          <w:i/>
                          <w:iCs/>
                          <w:color w:val="000000"/>
                        </w:rPr>
                        <w:t>system</w:t>
                      </w:r>
                      <w:r w:rsidR="0041342F" w:rsidRPr="000963B5">
                        <w:rPr>
                          <w:rFonts w:eastAsia="Arial" w:cs="Arial"/>
                          <w:i/>
                          <w:iCs/>
                          <w:color w:val="000000"/>
                        </w:rPr>
                        <w:t xml:space="preserve">. En </w:t>
                      </w:r>
                      <w:r w:rsidR="00351ACC">
                        <w:rPr>
                          <w:rFonts w:eastAsia="Arial" w:cs="Arial"/>
                          <w:i/>
                          <w:iCs/>
                          <w:color w:val="000000"/>
                        </w:rPr>
                        <w:t xml:space="preserve">mere koncentreret </w:t>
                      </w:r>
                      <w:r w:rsidR="0041342F" w:rsidRPr="000963B5">
                        <w:rPr>
                          <w:rFonts w:eastAsia="Arial" w:cs="Arial"/>
                          <w:i/>
                          <w:iCs/>
                          <w:color w:val="000000"/>
                        </w:rPr>
                        <w:t>fordeling af beslutningskompetencer øger alt andet lige graden af</w:t>
                      </w:r>
                      <w:r w:rsidR="00351ACC">
                        <w:rPr>
                          <w:rFonts w:eastAsia="Arial" w:cs="Arial"/>
                          <w:i/>
                          <w:iCs/>
                          <w:color w:val="000000"/>
                        </w:rPr>
                        <w:t xml:space="preserve"> centralitet</w:t>
                      </w:r>
                      <w:r w:rsidR="0041342F" w:rsidRPr="000963B5">
                        <w:rPr>
                          <w:rFonts w:eastAsia="Arial" w:cs="Arial"/>
                          <w:i/>
                          <w:iCs/>
                          <w:color w:val="000000"/>
                        </w:rPr>
                        <w:t xml:space="preserve">. </w:t>
                      </w:r>
                    </w:p>
                    <w:p w14:paraId="45945D49" w14:textId="77777777" w:rsidR="0041342F" w:rsidRDefault="0041342F" w:rsidP="0041342F">
                      <w:pPr>
                        <w:spacing w:line="279" w:lineRule="auto"/>
                        <w:textDirection w:val="btLr"/>
                      </w:pPr>
                    </w:p>
                    <w:p w14:paraId="67CB9AED" w14:textId="77777777" w:rsidR="0041342F" w:rsidRDefault="0041342F" w:rsidP="0041342F">
                      <w:pPr>
                        <w:spacing w:line="279" w:lineRule="auto"/>
                        <w:textDirection w:val="btLr"/>
                      </w:pPr>
                    </w:p>
                    <w:p w14:paraId="09035509" w14:textId="77777777" w:rsidR="0041342F" w:rsidRDefault="0041342F" w:rsidP="0041342F">
                      <w:pPr>
                        <w:spacing w:line="279" w:lineRule="auto"/>
                        <w:textDirection w:val="btLr"/>
                      </w:pPr>
                    </w:p>
                    <w:p w14:paraId="5FE1F310" w14:textId="77777777" w:rsidR="0041342F" w:rsidRDefault="0041342F" w:rsidP="0041342F">
                      <w:pPr>
                        <w:spacing w:line="279" w:lineRule="auto"/>
                        <w:textDirection w:val="btLr"/>
                      </w:pPr>
                      <w:r>
                        <w:rPr>
                          <w:rFonts w:eastAsia="Arial" w:cs="Arial"/>
                          <w:color w:val="000000"/>
                        </w:rPr>
                        <w:t xml:space="preserve">Udbuddet af et DLT-system kan i udgangspunktet ikke anses som decentralt, </w:t>
                      </w:r>
                    </w:p>
                    <w:p w14:paraId="7A36A0E0" w14:textId="77777777" w:rsidR="0041342F" w:rsidRDefault="0041342F" w:rsidP="0041342F">
                      <w:pPr>
                        <w:spacing w:line="279" w:lineRule="auto"/>
                        <w:textDirection w:val="btLr"/>
                      </w:pPr>
                    </w:p>
                  </w:txbxContent>
                </v:textbox>
              </v:roundrect>
            </w:pict>
          </mc:Fallback>
        </mc:AlternateContent>
      </w:r>
    </w:p>
    <w:p w14:paraId="441A32BD" w14:textId="198B20AA" w:rsidR="0041342F" w:rsidRDefault="0041342F" w:rsidP="0041342F"/>
    <w:p w14:paraId="3C194557" w14:textId="2223A80F" w:rsidR="0041342F" w:rsidRDefault="0041342F" w:rsidP="0041342F"/>
    <w:p w14:paraId="3085FBCA" w14:textId="7E1E62C9" w:rsidR="0041342F" w:rsidRDefault="0041342F" w:rsidP="0041342F"/>
    <w:p w14:paraId="1B7D704D" w14:textId="77777777" w:rsidR="00AD3F8C" w:rsidRDefault="00AD3F8C" w:rsidP="0041342F"/>
    <w:p w14:paraId="514EB699" w14:textId="77777777" w:rsidR="00AD3F8C" w:rsidRDefault="00AD3F8C" w:rsidP="0041342F"/>
    <w:p w14:paraId="6C780FF3" w14:textId="508D0537" w:rsidR="00C72785" w:rsidRDefault="00E96C9C" w:rsidP="00C72785">
      <w:pPr>
        <w:rPr>
          <w:iCs/>
        </w:rPr>
      </w:pPr>
      <w:r>
        <w:rPr>
          <w:iCs/>
        </w:rPr>
        <w:t>Beslutningskompetencerne i</w:t>
      </w:r>
      <w:r w:rsidR="00DC41D3">
        <w:rPr>
          <w:iCs/>
        </w:rPr>
        <w:t xml:space="preserve"> forhold til </w:t>
      </w:r>
      <w:r>
        <w:rPr>
          <w:iCs/>
        </w:rPr>
        <w:t xml:space="preserve">f.eks. drift og adgangsmekanismer </w:t>
      </w:r>
      <w:r w:rsidR="00046CE1">
        <w:rPr>
          <w:iCs/>
        </w:rPr>
        <w:t>kan</w:t>
      </w:r>
      <w:r w:rsidR="00275CA8">
        <w:rPr>
          <w:iCs/>
        </w:rPr>
        <w:t xml:space="preserve"> være </w:t>
      </w:r>
      <w:r w:rsidR="00046CE1">
        <w:rPr>
          <w:iCs/>
        </w:rPr>
        <w:t xml:space="preserve">koncentreret </w:t>
      </w:r>
      <w:r w:rsidR="0041342F">
        <w:rPr>
          <w:iCs/>
        </w:rPr>
        <w:t xml:space="preserve">hos enkelte </w:t>
      </w:r>
      <w:r w:rsidR="005B0309">
        <w:rPr>
          <w:iCs/>
        </w:rPr>
        <w:t xml:space="preserve">personer </w:t>
      </w:r>
      <w:r w:rsidR="00046CE1">
        <w:rPr>
          <w:iCs/>
        </w:rPr>
        <w:t xml:space="preserve">(såkaldte </w:t>
      </w:r>
      <w:proofErr w:type="spellStart"/>
      <w:r w:rsidR="00046CE1">
        <w:rPr>
          <w:iCs/>
        </w:rPr>
        <w:t>whales</w:t>
      </w:r>
      <w:proofErr w:type="spellEnd"/>
      <w:r w:rsidR="00275CA8">
        <w:rPr>
          <w:iCs/>
        </w:rPr>
        <w:t>)</w:t>
      </w:r>
      <w:r w:rsidR="005B0309">
        <w:rPr>
          <w:iCs/>
        </w:rPr>
        <w:t xml:space="preserve"> eller </w:t>
      </w:r>
      <w:r w:rsidR="00DC41D3">
        <w:rPr>
          <w:iCs/>
        </w:rPr>
        <w:t xml:space="preserve">hos </w:t>
      </w:r>
      <w:r w:rsidR="005B0309">
        <w:rPr>
          <w:iCs/>
        </w:rPr>
        <w:t>en gruppe af personer med et fælles mål</w:t>
      </w:r>
      <w:r w:rsidR="00B10D31">
        <w:rPr>
          <w:iCs/>
        </w:rPr>
        <w:t xml:space="preserve"> (såkaldte beslutningsudøvende organer)</w:t>
      </w:r>
      <w:r w:rsidR="00F75032">
        <w:rPr>
          <w:iCs/>
        </w:rPr>
        <w:t>, jf. afsnit 5.</w:t>
      </w:r>
      <w:r w:rsidR="00005395">
        <w:rPr>
          <w:iCs/>
        </w:rPr>
        <w:t>3</w:t>
      </w:r>
      <w:r w:rsidR="00F75032">
        <w:rPr>
          <w:iCs/>
        </w:rPr>
        <w:t>.1</w:t>
      </w:r>
      <w:r>
        <w:rPr>
          <w:iCs/>
        </w:rPr>
        <w:t>.</w:t>
      </w:r>
      <w:r w:rsidR="00A95449">
        <w:rPr>
          <w:iCs/>
        </w:rPr>
        <w:t>3.</w:t>
      </w:r>
      <w:r>
        <w:rPr>
          <w:iCs/>
        </w:rPr>
        <w:t xml:space="preserve"> </w:t>
      </w:r>
      <w:r w:rsidR="00940F29">
        <w:rPr>
          <w:iCs/>
        </w:rPr>
        <w:t xml:space="preserve">Hvis beslutningskompetencer er koncentreret hos et </w:t>
      </w:r>
      <w:proofErr w:type="spellStart"/>
      <w:r w:rsidR="00940F29">
        <w:rPr>
          <w:iCs/>
        </w:rPr>
        <w:t>retssubjekt</w:t>
      </w:r>
      <w:proofErr w:type="spellEnd"/>
      <w:r w:rsidR="00940F29">
        <w:rPr>
          <w:iCs/>
        </w:rPr>
        <w:t xml:space="preserve">, er det en indikation på </w:t>
      </w:r>
      <w:proofErr w:type="spellStart"/>
      <w:r w:rsidR="00940F29">
        <w:rPr>
          <w:iCs/>
        </w:rPr>
        <w:t>centralitet</w:t>
      </w:r>
      <w:proofErr w:type="spellEnd"/>
      <w:r w:rsidR="00940F29">
        <w:rPr>
          <w:iCs/>
        </w:rPr>
        <w:t xml:space="preserve"> i udbuddet</w:t>
      </w:r>
      <w:r w:rsidR="0052660B">
        <w:rPr>
          <w:iCs/>
        </w:rPr>
        <w:t>. D</w:t>
      </w:r>
      <w:r w:rsidR="00940F29">
        <w:rPr>
          <w:iCs/>
        </w:rPr>
        <w:t xml:space="preserve">et </w:t>
      </w:r>
      <w:r w:rsidR="00DC41D3">
        <w:rPr>
          <w:iCs/>
        </w:rPr>
        <w:t>kan</w:t>
      </w:r>
      <w:r w:rsidR="00940F29">
        <w:rPr>
          <w:iCs/>
        </w:rPr>
        <w:t xml:space="preserve"> tale for</w:t>
      </w:r>
      <w:r w:rsidR="00A51ED5">
        <w:rPr>
          <w:iCs/>
        </w:rPr>
        <w:t>,</w:t>
      </w:r>
      <w:r w:rsidR="00940F29">
        <w:rPr>
          <w:iCs/>
        </w:rPr>
        <w:t xml:space="preserve"> at </w:t>
      </w:r>
      <w:proofErr w:type="spellStart"/>
      <w:r w:rsidR="00940F29">
        <w:rPr>
          <w:iCs/>
        </w:rPr>
        <w:t>retssubjektet</w:t>
      </w:r>
      <w:proofErr w:type="spellEnd"/>
      <w:r w:rsidR="00940F29">
        <w:rPr>
          <w:iCs/>
        </w:rPr>
        <w:t xml:space="preserve"> kan gøres til genstand for forpligtigelserne i </w:t>
      </w:r>
      <w:proofErr w:type="spellStart"/>
      <w:r w:rsidR="00940F29">
        <w:rPr>
          <w:iCs/>
        </w:rPr>
        <w:t>MiCA</w:t>
      </w:r>
      <w:proofErr w:type="spellEnd"/>
      <w:r w:rsidR="00DC41D3">
        <w:rPr>
          <w:iCs/>
        </w:rPr>
        <w:t>, hvad angår</w:t>
      </w:r>
      <w:r w:rsidR="0041342F">
        <w:rPr>
          <w:iCs/>
        </w:rPr>
        <w:t xml:space="preserve"> udbuddet af regulerede aktiviteter</w:t>
      </w:r>
      <w:r w:rsidR="00696683">
        <w:rPr>
          <w:iCs/>
        </w:rPr>
        <w:t>.</w:t>
      </w:r>
    </w:p>
    <w:p w14:paraId="1C81E3F0" w14:textId="77777777" w:rsidR="00696683" w:rsidRDefault="00696683" w:rsidP="00C72785">
      <w:pPr>
        <w:rPr>
          <w:iCs/>
        </w:rPr>
      </w:pPr>
    </w:p>
    <w:p w14:paraId="243ADDAE" w14:textId="2C8B80BF" w:rsidR="00C72785" w:rsidRDefault="00C72785" w:rsidP="00C72785">
      <w:r w:rsidRPr="00C72785">
        <w:t>Finanstilsynets vil</w:t>
      </w:r>
      <w:r w:rsidR="00A51ED5">
        <w:t>,</w:t>
      </w:r>
      <w:r>
        <w:t xml:space="preserve"> </w:t>
      </w:r>
      <w:r w:rsidR="00E30FCF">
        <w:t>når</w:t>
      </w:r>
      <w:r w:rsidR="00F75032">
        <w:t xml:space="preserve"> relevant</w:t>
      </w:r>
      <w:r w:rsidR="00A51ED5">
        <w:t>,</w:t>
      </w:r>
      <w:r w:rsidR="00F75032">
        <w:t xml:space="preserve"> </w:t>
      </w:r>
      <w:r w:rsidRPr="00C72785">
        <w:t>inddrage graden af koncentration i beslutningskompetencerne i</w:t>
      </w:r>
      <w:r w:rsidR="00DC41D3">
        <w:t xml:space="preserve"> </w:t>
      </w:r>
      <w:r w:rsidRPr="00C72785">
        <w:t xml:space="preserve">vurderingen af, om enkelte personer eller grupper af personer kan udgøre </w:t>
      </w:r>
      <w:proofErr w:type="spellStart"/>
      <w:r w:rsidRPr="00C72785">
        <w:t>retssubjekter</w:t>
      </w:r>
      <w:proofErr w:type="spellEnd"/>
      <w:r w:rsidRPr="00C72785">
        <w:t xml:space="preserve"> for udbuddet af ellers teknisk decentrale regulerede aktiviteter i DLT-</w:t>
      </w:r>
      <w:r w:rsidR="00005395">
        <w:t>systemer</w:t>
      </w:r>
      <w:r w:rsidRPr="00C72785">
        <w:t>.</w:t>
      </w:r>
    </w:p>
    <w:p w14:paraId="293E230F" w14:textId="77777777" w:rsidR="005B0309" w:rsidRDefault="005B0309" w:rsidP="0041342F"/>
    <w:p w14:paraId="6C5A71BF" w14:textId="31A59331" w:rsidR="00F64657" w:rsidRPr="00EA4852" w:rsidRDefault="00F64657" w:rsidP="00F64657">
      <w:pPr>
        <w:pStyle w:val="Overskrift2"/>
      </w:pPr>
      <w:bookmarkStart w:id="15" w:name="_Toc170130145"/>
      <w:r>
        <w:t>5</w:t>
      </w:r>
      <w:r w:rsidRPr="00EA4852">
        <w:t>.</w:t>
      </w:r>
      <w:r w:rsidR="00DE2791">
        <w:t>3</w:t>
      </w:r>
      <w:r w:rsidRPr="00EA4852">
        <w:t xml:space="preserve">. </w:t>
      </w:r>
      <w:r>
        <w:t>Decentral ledelse af regulerede aktiviteter</w:t>
      </w:r>
      <w:bookmarkEnd w:id="15"/>
      <w:r w:rsidRPr="00EA4852">
        <w:t xml:space="preserve"> </w:t>
      </w:r>
    </w:p>
    <w:p w14:paraId="5D7C5536" w14:textId="2DDBC850" w:rsidR="001966F3" w:rsidRDefault="00F64657" w:rsidP="00F64657">
      <w:r w:rsidRPr="001D0740">
        <w:t xml:space="preserve">Figur </w:t>
      </w:r>
      <w:r w:rsidR="00D477FD">
        <w:t>5</w:t>
      </w:r>
      <w:r w:rsidRPr="001D0740">
        <w:t xml:space="preserve"> opsummerer de forhold, </w:t>
      </w:r>
      <w:r w:rsidR="005C7694" w:rsidRPr="001D0740">
        <w:t xml:space="preserve">der </w:t>
      </w:r>
      <w:r w:rsidR="005C7694">
        <w:t xml:space="preserve">danner udgangspunkt for Finanstilsynets tilgang til </w:t>
      </w:r>
      <w:r w:rsidR="005C7694" w:rsidRPr="001D0740">
        <w:t>vurdering</w:t>
      </w:r>
      <w:r w:rsidR="005C7694">
        <w:t xml:space="preserve"> af </w:t>
      </w:r>
      <w:proofErr w:type="spellStart"/>
      <w:r w:rsidR="005C7694">
        <w:t>decentralitet</w:t>
      </w:r>
      <w:proofErr w:type="spellEnd"/>
      <w:r w:rsidR="005C7694">
        <w:t xml:space="preserve"> i ledelseslaget</w:t>
      </w:r>
      <w:r>
        <w:t xml:space="preserve">. </w:t>
      </w:r>
      <w:r w:rsidR="00696683">
        <w:t>Udbuddet</w:t>
      </w:r>
      <w:r>
        <w:t xml:space="preserve"> af en reguleret aktivitet kan </w:t>
      </w:r>
      <w:r w:rsidR="00696683">
        <w:t xml:space="preserve">nemlig </w:t>
      </w:r>
      <w:r>
        <w:t xml:space="preserve">være decentralt, selvom </w:t>
      </w:r>
      <w:r w:rsidR="00F75032">
        <w:t>det ikke er teknisk decentralt</w:t>
      </w:r>
      <w:r>
        <w:t>.</w:t>
      </w:r>
      <w:r w:rsidR="00696683" w:rsidRPr="00696683">
        <w:t xml:space="preserve"> </w:t>
      </w:r>
      <w:r w:rsidR="00696683">
        <w:t xml:space="preserve">Det er tilfældet, hvis der ikke </w:t>
      </w:r>
      <w:r w:rsidR="00DC41D3">
        <w:t>er</w:t>
      </w:r>
      <w:r w:rsidR="00696683">
        <w:t xml:space="preserve"> et </w:t>
      </w:r>
      <w:proofErr w:type="spellStart"/>
      <w:r w:rsidR="00696683">
        <w:t>retssubjekt</w:t>
      </w:r>
      <w:proofErr w:type="spellEnd"/>
      <w:r w:rsidR="00696683">
        <w:t xml:space="preserve">, der </w:t>
      </w:r>
      <w:r w:rsidR="00F75032">
        <w:t xml:space="preserve">ledelsesmæssigt kan </w:t>
      </w:r>
      <w:r w:rsidR="00242C59">
        <w:t>råde</w:t>
      </w:r>
      <w:r w:rsidR="00696683">
        <w:t xml:space="preserve"> over udbuddet. </w:t>
      </w:r>
    </w:p>
    <w:p w14:paraId="7FAC8A42" w14:textId="755EF20B" w:rsidR="005F2EF4" w:rsidRDefault="005F2EF4" w:rsidP="00F64657">
      <w:pPr>
        <w:rPr>
          <w:b/>
          <w:bCs/>
        </w:rPr>
      </w:pPr>
    </w:p>
    <w:p w14:paraId="535C877C" w14:textId="6D3381ED" w:rsidR="00F64657" w:rsidRDefault="00F64657" w:rsidP="00F64657">
      <w:pPr>
        <w:rPr>
          <w:b/>
          <w:bCs/>
        </w:rPr>
      </w:pPr>
      <w:r w:rsidRPr="001D0740">
        <w:rPr>
          <w:b/>
          <w:bCs/>
        </w:rPr>
        <w:t xml:space="preserve">Figur </w:t>
      </w:r>
      <w:r w:rsidR="00D477FD">
        <w:rPr>
          <w:b/>
          <w:bCs/>
        </w:rPr>
        <w:t>5</w:t>
      </w:r>
      <w:r>
        <w:rPr>
          <w:b/>
          <w:bCs/>
        </w:rPr>
        <w:t xml:space="preserve"> </w:t>
      </w:r>
      <w:r w:rsidR="00DC41D3">
        <w:rPr>
          <w:b/>
          <w:bCs/>
        </w:rPr>
        <w:t>–</w:t>
      </w:r>
      <w:r>
        <w:rPr>
          <w:b/>
          <w:bCs/>
        </w:rPr>
        <w:t xml:space="preserve"> Spørgsmål til afklaring i vurderingen af decentral ledelse</w:t>
      </w:r>
    </w:p>
    <w:p w14:paraId="7E177119" w14:textId="225460DC" w:rsidR="003E6FF6" w:rsidRDefault="00E044CD" w:rsidP="00F64657">
      <w:pPr>
        <w:rPr>
          <w:b/>
          <w:bCs/>
        </w:rPr>
      </w:pPr>
      <w:r w:rsidRPr="00E044CD">
        <w:rPr>
          <w:b/>
          <w:bCs/>
          <w:noProof/>
        </w:rPr>
        <w:drawing>
          <wp:anchor distT="0" distB="0" distL="114300" distR="114300" simplePos="0" relativeHeight="251653120" behindDoc="1" locked="0" layoutInCell="1" allowOverlap="1" wp14:anchorId="2E93816F" wp14:editId="4502383C">
            <wp:simplePos x="0" y="0"/>
            <wp:positionH relativeFrom="column">
              <wp:posOffset>635</wp:posOffset>
            </wp:positionH>
            <wp:positionV relativeFrom="paragraph">
              <wp:posOffset>70789</wp:posOffset>
            </wp:positionV>
            <wp:extent cx="5400040" cy="1176020"/>
            <wp:effectExtent l="0" t="0" r="0" b="0"/>
            <wp:wrapNone/>
            <wp:docPr id="5" name="Billede 4" descr="Et billede, der indeholder tekst, skærmbillede, Font/skrifttype&#10;&#10;Automatisk genereret beskrivelse">
              <a:extLst xmlns:a="http://schemas.openxmlformats.org/drawingml/2006/main">
                <a:ext uri="{FF2B5EF4-FFF2-40B4-BE49-F238E27FC236}">
                  <a16:creationId xmlns:a16="http://schemas.microsoft.com/office/drawing/2014/main" id="{A2EE8578-099D-A1D9-50B8-C942771F0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4" descr="Et billede, der indeholder tekst, skærmbillede, Font/skrifttype&#10;&#10;Automatisk genereret beskrivelse">
                      <a:extLst>
                        <a:ext uri="{FF2B5EF4-FFF2-40B4-BE49-F238E27FC236}">
                          <a16:creationId xmlns:a16="http://schemas.microsoft.com/office/drawing/2014/main" id="{A2EE8578-099D-A1D9-50B8-C942771F020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400040" cy="1176020"/>
                    </a:xfrm>
                    <a:prstGeom prst="rect">
                      <a:avLst/>
                    </a:prstGeom>
                  </pic:spPr>
                </pic:pic>
              </a:graphicData>
            </a:graphic>
            <wp14:sizeRelH relativeFrom="page">
              <wp14:pctWidth>0</wp14:pctWidth>
            </wp14:sizeRelH>
            <wp14:sizeRelV relativeFrom="page">
              <wp14:pctHeight>0</wp14:pctHeight>
            </wp14:sizeRelV>
          </wp:anchor>
        </w:drawing>
      </w:r>
    </w:p>
    <w:p w14:paraId="1FC68F65" w14:textId="18261C71" w:rsidR="00F64657" w:rsidRDefault="00F64657" w:rsidP="00F64657">
      <w:pPr>
        <w:rPr>
          <w:b/>
        </w:rPr>
      </w:pPr>
    </w:p>
    <w:p w14:paraId="1F77C606" w14:textId="77777777" w:rsidR="00F64657" w:rsidRDefault="00F64657" w:rsidP="00F64657">
      <w:pPr>
        <w:rPr>
          <w:b/>
          <w:bCs/>
        </w:rPr>
      </w:pPr>
    </w:p>
    <w:p w14:paraId="50F48DB9" w14:textId="77777777" w:rsidR="00F64657" w:rsidRDefault="00F64657" w:rsidP="00F64657">
      <w:pPr>
        <w:rPr>
          <w:b/>
          <w:bCs/>
        </w:rPr>
      </w:pPr>
    </w:p>
    <w:p w14:paraId="50EDDF3A" w14:textId="77777777" w:rsidR="00F64657" w:rsidRDefault="00F64657" w:rsidP="00F64657">
      <w:pPr>
        <w:rPr>
          <w:b/>
          <w:bCs/>
        </w:rPr>
      </w:pPr>
    </w:p>
    <w:p w14:paraId="509998EC" w14:textId="77777777" w:rsidR="00F64657" w:rsidRDefault="00F64657" w:rsidP="00F64657">
      <w:pPr>
        <w:rPr>
          <w:b/>
          <w:bCs/>
        </w:rPr>
      </w:pPr>
    </w:p>
    <w:p w14:paraId="287A8F8A" w14:textId="77777777" w:rsidR="00FE1A9B" w:rsidRDefault="00FE1A9B" w:rsidP="00F64657">
      <w:pPr>
        <w:rPr>
          <w:b/>
          <w:bCs/>
          <w:sz w:val="18"/>
          <w:szCs w:val="16"/>
        </w:rPr>
      </w:pPr>
    </w:p>
    <w:p w14:paraId="3C6FCBBE" w14:textId="1169F221" w:rsidR="00F64657" w:rsidRPr="00953B14" w:rsidRDefault="00F64657" w:rsidP="00F64657">
      <w:pPr>
        <w:rPr>
          <w:sz w:val="18"/>
          <w:szCs w:val="16"/>
        </w:rPr>
      </w:pPr>
      <w:r w:rsidRPr="00953B14">
        <w:rPr>
          <w:b/>
          <w:bCs/>
          <w:sz w:val="18"/>
          <w:szCs w:val="16"/>
        </w:rPr>
        <w:t xml:space="preserve">Kilde: </w:t>
      </w:r>
      <w:r w:rsidRPr="00953B14">
        <w:rPr>
          <w:sz w:val="18"/>
          <w:szCs w:val="16"/>
        </w:rPr>
        <w:t>Finanstilsynet</w:t>
      </w:r>
    </w:p>
    <w:p w14:paraId="1F4C08BF" w14:textId="77777777" w:rsidR="00C1424A" w:rsidRDefault="00C1424A" w:rsidP="00B867EF"/>
    <w:p w14:paraId="5F237F8F" w14:textId="51D8BB3F" w:rsidR="00696683" w:rsidRDefault="00696683" w:rsidP="00696683">
      <w:r>
        <w:t xml:space="preserve">Et samvirke kan kun anses som </w:t>
      </w:r>
      <w:r w:rsidRPr="00CD76D3">
        <w:t>ledelsesmæssig</w:t>
      </w:r>
      <w:r>
        <w:t>t</w:t>
      </w:r>
      <w:r w:rsidRPr="00CD76D3">
        <w:t xml:space="preserve"> decentralt</w:t>
      </w:r>
      <w:r>
        <w:t xml:space="preserve">, hvis </w:t>
      </w:r>
      <w:r w:rsidR="001A56C8">
        <w:t>den</w:t>
      </w:r>
      <w:r w:rsidRPr="00CD76D3">
        <w:t xml:space="preserve"> ledelsesmæssige indretning </w:t>
      </w:r>
      <w:r w:rsidR="00771804">
        <w:t xml:space="preserve">ikke </w:t>
      </w:r>
      <w:r w:rsidRPr="00CD76D3">
        <w:t xml:space="preserve">medfører, at samvirket som kollektiv udgør en juridisk person </w:t>
      </w:r>
      <w:r w:rsidR="00557883">
        <w:t xml:space="preserve">– </w:t>
      </w:r>
      <w:r w:rsidRPr="00CD76D3">
        <w:t xml:space="preserve">og </w:t>
      </w:r>
      <w:r w:rsidR="00557883">
        <w:t>dermed</w:t>
      </w:r>
      <w:r w:rsidRPr="00CD76D3">
        <w:t xml:space="preserve"> et </w:t>
      </w:r>
      <w:proofErr w:type="spellStart"/>
      <w:r w:rsidRPr="00CD76D3">
        <w:t>retssubjekt</w:t>
      </w:r>
      <w:proofErr w:type="spellEnd"/>
      <w:r w:rsidR="00771804">
        <w:t xml:space="preserve">. Hvis samvirket som helhed ikke udgør </w:t>
      </w:r>
      <w:r w:rsidR="00557883">
        <w:t xml:space="preserve">et </w:t>
      </w:r>
      <w:proofErr w:type="spellStart"/>
      <w:r w:rsidR="00771804">
        <w:t>retssubjekt</w:t>
      </w:r>
      <w:proofErr w:type="spellEnd"/>
      <w:r w:rsidR="00771804">
        <w:t>, vil Finanstilsynet også vurdere, om</w:t>
      </w:r>
      <w:r>
        <w:t xml:space="preserve"> </w:t>
      </w:r>
      <w:r w:rsidRPr="00CD76D3">
        <w:t xml:space="preserve">individuelle </w:t>
      </w:r>
      <w:r w:rsidR="006C61EC">
        <w:t>aktører</w:t>
      </w:r>
      <w:r w:rsidRPr="00CD76D3">
        <w:t xml:space="preserve"> (fysiske </w:t>
      </w:r>
      <w:r w:rsidR="00771804">
        <w:t>eller</w:t>
      </w:r>
      <w:r>
        <w:t xml:space="preserve"> juridiske </w:t>
      </w:r>
      <w:r w:rsidRPr="00CD76D3">
        <w:t xml:space="preserve">personer) </w:t>
      </w:r>
      <w:r>
        <w:t xml:space="preserve">selvstændigt </w:t>
      </w:r>
      <w:r w:rsidRPr="00CD76D3">
        <w:t xml:space="preserve">udgør </w:t>
      </w:r>
      <w:proofErr w:type="spellStart"/>
      <w:r w:rsidRPr="00CD76D3">
        <w:t>retssubjekt</w:t>
      </w:r>
      <w:proofErr w:type="spellEnd"/>
      <w:r>
        <w:t xml:space="preserve"> for den regulerede aktivitet. </w:t>
      </w:r>
    </w:p>
    <w:p w14:paraId="04F95AF1" w14:textId="77777777" w:rsidR="00696683" w:rsidRDefault="00696683" w:rsidP="00B867EF"/>
    <w:p w14:paraId="1781F0D4" w14:textId="1DB39999" w:rsidR="00DD764B" w:rsidRPr="00EA4852" w:rsidRDefault="00DD764B" w:rsidP="00DD764B">
      <w:pPr>
        <w:pStyle w:val="Overskrift3"/>
      </w:pPr>
      <w:r>
        <w:t>5</w:t>
      </w:r>
      <w:r w:rsidRPr="00EA4852">
        <w:t>.</w:t>
      </w:r>
      <w:r w:rsidR="00DE2791">
        <w:t>3</w:t>
      </w:r>
      <w:r w:rsidRPr="00EA4852">
        <w:t>.1. DAO</w:t>
      </w:r>
      <w:r w:rsidR="00BA0E01">
        <w:t>-konceptet</w:t>
      </w:r>
      <w:r w:rsidRPr="00EA4852">
        <w:t xml:space="preserve"> som udgangspunkt for vurdering</w:t>
      </w:r>
      <w:r>
        <w:t>en</w:t>
      </w:r>
    </w:p>
    <w:p w14:paraId="29EF550D" w14:textId="4F0BF20C" w:rsidR="00701CA4" w:rsidRDefault="0089124A" w:rsidP="00DD764B">
      <w:r>
        <w:t>En decentral autonom organisation (</w:t>
      </w:r>
      <w:r w:rsidR="00DD764B">
        <w:t>DAO</w:t>
      </w:r>
      <w:r>
        <w:t>)</w:t>
      </w:r>
      <w:r w:rsidR="00DD764B">
        <w:t xml:space="preserve"> er ikke et juridisk defineret begreb</w:t>
      </w:r>
      <w:r w:rsidR="00AF55E8">
        <w:t xml:space="preserve"> i Danmark</w:t>
      </w:r>
      <w:r w:rsidR="00DD764B">
        <w:t xml:space="preserve">, men bygger på idéen om </w:t>
      </w:r>
      <w:r w:rsidR="001A56C8">
        <w:t xml:space="preserve">at </w:t>
      </w:r>
      <w:r w:rsidR="00557883">
        <w:t xml:space="preserve">bruge </w:t>
      </w:r>
      <w:r w:rsidR="00DD764B">
        <w:t>konventionelle blockchains og smartkontrakter til at skabe decentral</w:t>
      </w:r>
      <w:r w:rsidR="001A56C8">
        <w:t xml:space="preserve">e </w:t>
      </w:r>
      <w:r w:rsidR="00DD764B">
        <w:t xml:space="preserve">samvirker. I </w:t>
      </w:r>
      <w:r w:rsidR="00557883">
        <w:t>det følgende</w:t>
      </w:r>
      <w:r w:rsidR="00DD764B">
        <w:t xml:space="preserve"> </w:t>
      </w:r>
      <w:r w:rsidR="00557883">
        <w:t>brug</w:t>
      </w:r>
      <w:r w:rsidR="00DD764B">
        <w:t>es begrebet DAO om samvirker, der udbyder finansielle tjenester, som</w:t>
      </w:r>
      <w:r w:rsidR="00D81D57">
        <w:t xml:space="preserve"> opfylder begge af de følgende betingelser</w:t>
      </w:r>
      <w:r w:rsidR="00701CA4">
        <w:t>:</w:t>
      </w:r>
    </w:p>
    <w:p w14:paraId="2207B769" w14:textId="77777777" w:rsidR="00690A65" w:rsidRDefault="00690A65" w:rsidP="00DD764B"/>
    <w:p w14:paraId="53D2FEB3" w14:textId="2F7A9A3E" w:rsidR="00701CA4" w:rsidRDefault="00D81D57" w:rsidP="00B564DE">
      <w:pPr>
        <w:pStyle w:val="Listeafsnit"/>
        <w:numPr>
          <w:ilvl w:val="0"/>
          <w:numId w:val="47"/>
        </w:numPr>
        <w:tabs>
          <w:tab w:val="clear" w:pos="567"/>
        </w:tabs>
      </w:pPr>
      <w:r>
        <w:t xml:space="preserve">de </w:t>
      </w:r>
      <w:r w:rsidR="00DD764B">
        <w:t xml:space="preserve">er </w:t>
      </w:r>
      <w:r>
        <w:t xml:space="preserve">ikke </w:t>
      </w:r>
      <w:r w:rsidR="00DD764B">
        <w:t>stiftet i et legalt formelt samvirke</w:t>
      </w:r>
      <w:r w:rsidR="00690A65">
        <w:t xml:space="preserve"> </w:t>
      </w:r>
    </w:p>
    <w:p w14:paraId="6F00C017" w14:textId="11CC3744" w:rsidR="00DD764B" w:rsidRDefault="00D81D57" w:rsidP="00B564DE">
      <w:pPr>
        <w:pStyle w:val="Listeafsnit"/>
        <w:numPr>
          <w:ilvl w:val="0"/>
          <w:numId w:val="47"/>
        </w:numPr>
        <w:tabs>
          <w:tab w:val="clear" w:pos="567"/>
        </w:tabs>
      </w:pPr>
      <w:r>
        <w:t xml:space="preserve">de </w:t>
      </w:r>
      <w:r w:rsidR="005F2EF4">
        <w:t>brug</w:t>
      </w:r>
      <w:r w:rsidR="00DD764B">
        <w:t xml:space="preserve">er såkaldte </w:t>
      </w:r>
      <w:proofErr w:type="spellStart"/>
      <w:r w:rsidR="00DD764B">
        <w:t>governancetokens</w:t>
      </w:r>
      <w:proofErr w:type="spellEnd"/>
      <w:r w:rsidR="00DD764B">
        <w:t xml:space="preserve"> </w:t>
      </w:r>
      <w:r w:rsidR="00C514A8">
        <w:t xml:space="preserve">i kombination med smartkontrakter </w:t>
      </w:r>
      <w:r w:rsidR="00DD764B">
        <w:t xml:space="preserve">til at </w:t>
      </w:r>
      <w:r w:rsidR="00701CA4">
        <w:t>træffe</w:t>
      </w:r>
      <w:r w:rsidR="00DD764B">
        <w:t xml:space="preserve"> beslutninger i organisationen</w:t>
      </w:r>
      <w:r>
        <w:t xml:space="preserve"> (introduceres </w:t>
      </w:r>
      <w:r w:rsidRPr="00DF76FD">
        <w:t xml:space="preserve">nærmere </w:t>
      </w:r>
      <w:r>
        <w:t xml:space="preserve">i </w:t>
      </w:r>
      <w:r w:rsidR="00B564DE">
        <w:t>afsnit 5.3.2.2</w:t>
      </w:r>
      <w:r>
        <w:t>)</w:t>
      </w:r>
      <w:r w:rsidR="00DD764B">
        <w:t xml:space="preserve">. </w:t>
      </w:r>
    </w:p>
    <w:p w14:paraId="0F8DAD95" w14:textId="77777777" w:rsidR="00D340B7" w:rsidRDefault="00D340B7" w:rsidP="00D340B7">
      <w:pPr>
        <w:tabs>
          <w:tab w:val="clear" w:pos="567"/>
        </w:tabs>
      </w:pPr>
    </w:p>
    <w:p w14:paraId="732C1986" w14:textId="77777777" w:rsidR="00D340B7" w:rsidRDefault="00D340B7" w:rsidP="00D340B7">
      <w:pPr>
        <w:pStyle w:val="Overskrift3"/>
        <w:rPr>
          <w:rFonts w:eastAsia="Arial"/>
        </w:rPr>
      </w:pPr>
      <w:r>
        <w:rPr>
          <w:rFonts w:eastAsia="Arial"/>
        </w:rPr>
        <w:t>5.3.1.1. S</w:t>
      </w:r>
      <w:r w:rsidRPr="00DD764B">
        <w:rPr>
          <w:rFonts w:eastAsia="Arial"/>
        </w:rPr>
        <w:t xml:space="preserve">amvirket </w:t>
      </w:r>
      <w:r>
        <w:rPr>
          <w:rFonts w:eastAsia="Arial"/>
        </w:rPr>
        <w:t>som</w:t>
      </w:r>
      <w:r w:rsidRPr="00DD764B">
        <w:rPr>
          <w:rFonts w:eastAsia="Arial"/>
        </w:rPr>
        <w:t xml:space="preserve"> selvstændig juridisk person</w:t>
      </w:r>
    </w:p>
    <w:p w14:paraId="06726CB2" w14:textId="074E46F8" w:rsidR="0019174F" w:rsidRDefault="00D340B7" w:rsidP="0019174F">
      <w:pPr>
        <w:tabs>
          <w:tab w:val="clear" w:pos="567"/>
          <w:tab w:val="left" w:pos="0"/>
        </w:tabs>
      </w:pPr>
      <w:r>
        <w:t xml:space="preserve">I Danmark er der generelt </w:t>
      </w:r>
      <w:r w:rsidRPr="000854EF">
        <w:t>selskabsretlig aftalefrihed</w:t>
      </w:r>
      <w:r>
        <w:t xml:space="preserve">. Den indebærer, </w:t>
      </w:r>
      <w:r w:rsidRPr="000854EF">
        <w:t xml:space="preserve">at deltagerne i et selskab </w:t>
      </w:r>
      <w:r>
        <w:t>kan oprette</w:t>
      </w:r>
      <w:r w:rsidRPr="000854EF">
        <w:t xml:space="preserve"> et samvirke i en af de eksisterende selskabstyper eller skabe en ny </w:t>
      </w:r>
      <w:r>
        <w:t>virksomhedsform</w:t>
      </w:r>
      <w:r w:rsidRPr="000854EF">
        <w:t xml:space="preserve">, hvis det er hensigtsmæssigt. </w:t>
      </w:r>
      <w:r w:rsidR="00D81D57">
        <w:t>Dansk lovgivning</w:t>
      </w:r>
      <w:r>
        <w:t xml:space="preserve"> skelne</w:t>
      </w:r>
      <w:r w:rsidR="00D81D57">
        <w:t>r</w:t>
      </w:r>
      <w:r>
        <w:t xml:space="preserve"> grundlæggende mellem samvirker, som består af kapitalselskaber, hvis ledelsesmæssige indretning er reguleret gennem en række ufravigelige regler, og personselskaber, som i højere grad bygger på aftaleforholdet mellem samvirkets parter. </w:t>
      </w:r>
      <w:r w:rsidR="0019174F">
        <w:t xml:space="preserve">Om et samvirke udgør et personselskab, afhænger af en konkret </w:t>
      </w:r>
      <w:r w:rsidR="0019174F" w:rsidRPr="000854EF">
        <w:t>vurdering</w:t>
      </w:r>
      <w:r w:rsidR="0019174F">
        <w:t>,</w:t>
      </w:r>
      <w:r w:rsidR="0019174F" w:rsidRPr="000854EF">
        <w:t xml:space="preserve"> </w:t>
      </w:r>
      <w:r w:rsidR="0019174F">
        <w:t>som bl.a. inddrager,</w:t>
      </w:r>
      <w:r w:rsidR="0019174F" w:rsidRPr="000854EF">
        <w:t xml:space="preserve"> hvordan samvirket fremstår </w:t>
      </w:r>
      <w:r w:rsidR="0019174F">
        <w:t xml:space="preserve">udadtil, og hvordan aftaleforholdet mellem samvirkets parter er. Det er dog en forudsætning, at samvirket hviler på en aftale mellem to eller flere selskabsdeltagere om at drive fælles erhvervsvirksomhed. </w:t>
      </w:r>
    </w:p>
    <w:p w14:paraId="701A31C2" w14:textId="6688F6FB" w:rsidR="00701CA4" w:rsidRDefault="00F71F99" w:rsidP="00D340B7">
      <w:r>
        <w:rPr>
          <w:noProof/>
        </w:rPr>
        <w:lastRenderedPageBreak/>
        <mc:AlternateContent>
          <mc:Choice Requires="wps">
            <w:drawing>
              <wp:anchor distT="0" distB="0" distL="114300" distR="114300" simplePos="0" relativeHeight="251664384" behindDoc="0" locked="0" layoutInCell="1" allowOverlap="1" wp14:anchorId="6A57E390" wp14:editId="5AD989D1">
                <wp:simplePos x="0" y="0"/>
                <wp:positionH relativeFrom="column">
                  <wp:posOffset>265430</wp:posOffset>
                </wp:positionH>
                <wp:positionV relativeFrom="paragraph">
                  <wp:posOffset>177800</wp:posOffset>
                </wp:positionV>
                <wp:extent cx="4860290" cy="720090"/>
                <wp:effectExtent l="0" t="0" r="0" b="3810"/>
                <wp:wrapNone/>
                <wp:docPr id="425177582" name="Rektangel: afrundede hjørn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720090"/>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7834C6BD" w14:textId="63527770" w:rsidR="00DD764B" w:rsidRPr="00DD764B" w:rsidRDefault="00701CA4" w:rsidP="00DD764B">
                            <w:pPr>
                              <w:spacing w:line="279" w:lineRule="auto"/>
                              <w:textDirection w:val="btLr"/>
                              <w:rPr>
                                <w:i/>
                                <w:iCs/>
                              </w:rPr>
                            </w:pPr>
                            <w:r>
                              <w:rPr>
                                <w:rFonts w:eastAsia="Arial" w:cs="Arial"/>
                                <w:i/>
                                <w:iCs/>
                                <w:color w:val="000000"/>
                              </w:rPr>
                              <w:t>Finanstilsynet vurderer</w:t>
                            </w:r>
                            <w:r w:rsidR="00DD764B" w:rsidRPr="00DD764B">
                              <w:rPr>
                                <w:rFonts w:eastAsia="Arial" w:cs="Arial"/>
                                <w:i/>
                                <w:iCs/>
                                <w:color w:val="000000"/>
                              </w:rPr>
                              <w:t xml:space="preserve">, om et samvirke bag </w:t>
                            </w:r>
                            <w:r w:rsidR="001A56C8">
                              <w:rPr>
                                <w:rFonts w:eastAsia="Arial" w:cs="Arial"/>
                                <w:i/>
                                <w:iCs/>
                                <w:color w:val="000000"/>
                              </w:rPr>
                              <w:t xml:space="preserve">et ikketeknisk decentralt </w:t>
                            </w:r>
                            <w:r w:rsidR="00DD764B" w:rsidRPr="00DD764B">
                              <w:rPr>
                                <w:rFonts w:eastAsia="Arial" w:cs="Arial"/>
                                <w:i/>
                                <w:iCs/>
                                <w:color w:val="000000"/>
                              </w:rPr>
                              <w:t xml:space="preserve">udbud af en reguleret aktivitet kan </w:t>
                            </w:r>
                            <w:r w:rsidR="001A56C8">
                              <w:rPr>
                                <w:rFonts w:eastAsia="Arial" w:cs="Arial"/>
                                <w:i/>
                                <w:iCs/>
                                <w:color w:val="000000"/>
                              </w:rPr>
                              <w:t xml:space="preserve">udgøre </w:t>
                            </w:r>
                            <w:proofErr w:type="spellStart"/>
                            <w:r w:rsidR="001A56C8">
                              <w:rPr>
                                <w:rFonts w:eastAsia="Arial" w:cs="Arial"/>
                                <w:i/>
                                <w:iCs/>
                                <w:color w:val="000000"/>
                              </w:rPr>
                              <w:t>retssubjekt</w:t>
                            </w:r>
                            <w:proofErr w:type="spellEnd"/>
                            <w:r w:rsidR="001A56C8">
                              <w:rPr>
                                <w:rFonts w:eastAsia="Arial" w:cs="Arial"/>
                                <w:i/>
                                <w:iCs/>
                                <w:color w:val="000000"/>
                              </w:rPr>
                              <w:t xml:space="preserve"> i form af en juridisk person</w:t>
                            </w:r>
                            <w:r w:rsidR="00DD764B" w:rsidRPr="00DD764B">
                              <w:rPr>
                                <w:rFonts w:eastAsia="Arial" w:cs="Arial"/>
                                <w:i/>
                                <w:iCs/>
                                <w:color w:val="000000"/>
                              </w:rPr>
                              <w:t>, f.eks. et interessentskab.</w:t>
                            </w:r>
                            <w:r w:rsidR="001A56C8">
                              <w:rPr>
                                <w:rFonts w:eastAsia="Arial" w:cs="Arial"/>
                                <w:i/>
                                <w:iCs/>
                                <w:color w:val="000000"/>
                              </w:rPr>
                              <w:t xml:space="preserve">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A57E390" id="Rektangel: afrundede hjørner 3" o:spid="_x0000_s1035" style="position:absolute;left:0;text-align:left;margin-left:20.9pt;margin-top:14pt;width:382.7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" fillcolor="#f2f2f2">
                <v:stroke startarrowwidth="narrow" startarrowlength="short" endarrowwidth="narrow" endarrowlength="short"/>
                <v:textbox inset="2.53958mm,1.2694mm,2.53958mm,1.2694mm">
                  <w:txbxContent>
                    <w:p w14:paraId="7834C6BD" w14:textId="63527770" w:rsidR="00DD764B" w:rsidRPr="00DD764B" w:rsidRDefault="00701CA4" w:rsidP="00DD764B">
                      <w:pPr>
                        <w:spacing w:line="279" w:lineRule="auto"/>
                        <w:textDirection w:val="btLr"/>
                        <w:rPr>
                          <w:i/>
                          <w:iCs/>
                        </w:rPr>
                      </w:pPr>
                      <w:r>
                        <w:rPr>
                          <w:rFonts w:eastAsia="Arial" w:cs="Arial"/>
                          <w:i/>
                          <w:iCs/>
                          <w:color w:val="000000"/>
                        </w:rPr>
                        <w:t>Finanstilsynet vurderer</w:t>
                      </w:r>
                      <w:r w:rsidR="00DD764B" w:rsidRPr="00DD764B">
                        <w:rPr>
                          <w:rFonts w:eastAsia="Arial" w:cs="Arial"/>
                          <w:i/>
                          <w:iCs/>
                          <w:color w:val="000000"/>
                        </w:rPr>
                        <w:t xml:space="preserve">, om et samvirke bag </w:t>
                      </w:r>
                      <w:r w:rsidR="001A56C8">
                        <w:rPr>
                          <w:rFonts w:eastAsia="Arial" w:cs="Arial"/>
                          <w:i/>
                          <w:iCs/>
                          <w:color w:val="000000"/>
                        </w:rPr>
                        <w:t xml:space="preserve">et ikketeknisk decentralt </w:t>
                      </w:r>
                      <w:r w:rsidR="00DD764B" w:rsidRPr="00DD764B">
                        <w:rPr>
                          <w:rFonts w:eastAsia="Arial" w:cs="Arial"/>
                          <w:i/>
                          <w:iCs/>
                          <w:color w:val="000000"/>
                        </w:rPr>
                        <w:t xml:space="preserve">udbud af en reguleret aktivitet kan </w:t>
                      </w:r>
                      <w:r w:rsidR="001A56C8">
                        <w:rPr>
                          <w:rFonts w:eastAsia="Arial" w:cs="Arial"/>
                          <w:i/>
                          <w:iCs/>
                          <w:color w:val="000000"/>
                        </w:rPr>
                        <w:t>udgøre retssubjekt i form af en juridisk person</w:t>
                      </w:r>
                      <w:r w:rsidR="00DD764B" w:rsidRPr="00DD764B">
                        <w:rPr>
                          <w:rFonts w:eastAsia="Arial" w:cs="Arial"/>
                          <w:i/>
                          <w:iCs/>
                          <w:color w:val="000000"/>
                        </w:rPr>
                        <w:t>, f.eks. et interessentskab.</w:t>
                      </w:r>
                      <w:r w:rsidR="001A56C8">
                        <w:rPr>
                          <w:rFonts w:eastAsia="Arial" w:cs="Arial"/>
                          <w:i/>
                          <w:iCs/>
                          <w:color w:val="000000"/>
                        </w:rPr>
                        <w:t xml:space="preserve"> </w:t>
                      </w:r>
                    </w:p>
                  </w:txbxContent>
                </v:textbox>
              </v:roundrect>
            </w:pict>
          </mc:Fallback>
        </mc:AlternateContent>
      </w:r>
    </w:p>
    <w:p w14:paraId="0AD632B6" w14:textId="39AE24BC" w:rsidR="00DD764B" w:rsidRDefault="00DD764B" w:rsidP="00DD764B"/>
    <w:p w14:paraId="56642970" w14:textId="792E386E" w:rsidR="00DD764B" w:rsidRDefault="00DD764B" w:rsidP="00DD764B"/>
    <w:p w14:paraId="5B9685CD" w14:textId="77777777" w:rsidR="00DD764B" w:rsidRDefault="00DD764B" w:rsidP="00DD764B"/>
    <w:p w14:paraId="3897FAB1" w14:textId="77777777" w:rsidR="00DD764B" w:rsidRDefault="00DD764B" w:rsidP="00DD764B"/>
    <w:p w14:paraId="39791D63" w14:textId="77777777" w:rsidR="00DD764B" w:rsidRDefault="00DD764B" w:rsidP="00DD764B"/>
    <w:p w14:paraId="43910711" w14:textId="38497176" w:rsidR="00DD764B" w:rsidRDefault="002E639C" w:rsidP="00DD764B">
      <w:r>
        <w:t xml:space="preserve">En </w:t>
      </w:r>
      <w:r w:rsidR="00DD764B">
        <w:t xml:space="preserve">DAO </w:t>
      </w:r>
      <w:r>
        <w:t>er</w:t>
      </w:r>
      <w:r w:rsidR="00DD764B">
        <w:t xml:space="preserve"> en anderledes samvirkeform end de traditionelle virksomheds</w:t>
      </w:r>
      <w:r w:rsidR="00790A9E">
        <w:t>former</w:t>
      </w:r>
      <w:r w:rsidR="00DD764B">
        <w:t xml:space="preserve">, </w:t>
      </w:r>
      <w:r w:rsidR="00D81D57">
        <w:t>selvom</w:t>
      </w:r>
      <w:r w:rsidR="00DD764B">
        <w:t xml:space="preserve"> </w:t>
      </w:r>
      <w:r w:rsidR="00790A9E">
        <w:t>de kan have</w:t>
      </w:r>
      <w:r w:rsidR="00DD764B">
        <w:t xml:space="preserve"> </w:t>
      </w:r>
      <w:r w:rsidR="00790A9E">
        <w:t xml:space="preserve">visse </w:t>
      </w:r>
      <w:r w:rsidR="00DD764B">
        <w:t>ligheder. Der er f.eks. i</w:t>
      </w:r>
      <w:r w:rsidR="005F2EF4">
        <w:t>kke</w:t>
      </w:r>
      <w:r w:rsidR="00DD764B">
        <w:t xml:space="preserve"> krav om, at et interessentskab skal have et ledelsesorgan</w:t>
      </w:r>
      <w:r w:rsidR="00D81D57">
        <w:t xml:space="preserve">. </w:t>
      </w:r>
      <w:r w:rsidR="00790A9E">
        <w:t xml:space="preserve">Til sammenligning </w:t>
      </w:r>
      <w:r w:rsidR="00F12387">
        <w:t>for</w:t>
      </w:r>
      <w:r w:rsidR="00790A9E">
        <w:t>søger m</w:t>
      </w:r>
      <w:r w:rsidR="00DD764B">
        <w:t xml:space="preserve">ange </w:t>
      </w:r>
      <w:proofErr w:type="spellStart"/>
      <w:r w:rsidR="00DD764B">
        <w:t>DAO</w:t>
      </w:r>
      <w:r>
        <w:t>’er</w:t>
      </w:r>
      <w:proofErr w:type="spellEnd"/>
      <w:r w:rsidR="00DD764B">
        <w:t xml:space="preserve"> at eliminere de traditionelle ledelsesorganer, som bestyrelse og direktion</w:t>
      </w:r>
      <w:r w:rsidR="00F12387">
        <w:t>. Det gør</w:t>
      </w:r>
      <w:r w:rsidR="00975DD8">
        <w:t xml:space="preserve"> de</w:t>
      </w:r>
      <w:r w:rsidR="00F12387">
        <w:t xml:space="preserve"> ved brug af såkaldte </w:t>
      </w:r>
      <w:proofErr w:type="spellStart"/>
      <w:r w:rsidR="00F12387">
        <w:t>governancetokens</w:t>
      </w:r>
      <w:proofErr w:type="spellEnd"/>
      <w:r w:rsidR="004C0170">
        <w:t>, der som udgangspunkt repræsenterer indehavernes beslutningskompetencer i et samvirke</w:t>
      </w:r>
      <w:r>
        <w:t xml:space="preserve">. Dette er forklaret nærmere </w:t>
      </w:r>
      <w:r w:rsidR="00F82F59">
        <w:t>i næste afsnit</w:t>
      </w:r>
      <w:r>
        <w:t>.</w:t>
      </w:r>
      <w:r w:rsidR="004C0170">
        <w:t xml:space="preserve"> </w:t>
      </w:r>
      <w:r w:rsidR="00B435F7">
        <w:t xml:space="preserve">I aktieselskaber forudsætter kapitalejernes beføjelser til at træffe beslutninger desuden deltagelse på generalforsamlingen. </w:t>
      </w:r>
      <w:r w:rsidR="00F12387">
        <w:t xml:space="preserve">Indehaverne </w:t>
      </w:r>
      <w:r w:rsidR="00DD764B">
        <w:t xml:space="preserve">af </w:t>
      </w:r>
      <w:proofErr w:type="spellStart"/>
      <w:r w:rsidR="00DD764B">
        <w:t>governancetokens</w:t>
      </w:r>
      <w:proofErr w:type="spellEnd"/>
      <w:r w:rsidR="00DD764B">
        <w:t xml:space="preserve"> </w:t>
      </w:r>
      <w:r w:rsidR="00F12387">
        <w:t xml:space="preserve">kan </w:t>
      </w:r>
      <w:r w:rsidR="00DD764B">
        <w:t>som regel kun effektuere beslutningskompetencer</w:t>
      </w:r>
      <w:r w:rsidR="004C0170">
        <w:t>ne</w:t>
      </w:r>
      <w:r w:rsidR="00DD764B">
        <w:t>, hvis de</w:t>
      </w:r>
      <w:r w:rsidR="00975DD8">
        <w:t xml:space="preserve"> afgiver deres</w:t>
      </w:r>
      <w:r w:rsidR="00DD764B">
        <w:t xml:space="preserve"> stemme</w:t>
      </w:r>
      <w:r w:rsidR="00975DD8">
        <w:t xml:space="preserve"> ved</w:t>
      </w:r>
      <w:r w:rsidR="00DD764B">
        <w:t xml:space="preserve"> afstemninger om nye beslutningsforslag</w:t>
      </w:r>
      <w:r w:rsidR="0006588A">
        <w:t xml:space="preserve"> i samvirket eller </w:t>
      </w:r>
      <w:proofErr w:type="spellStart"/>
      <w:r w:rsidR="0006588A">
        <w:t>DAO</w:t>
      </w:r>
      <w:r w:rsidR="00975DD8">
        <w:t>’</w:t>
      </w:r>
      <w:r w:rsidR="0006588A">
        <w:t>en</w:t>
      </w:r>
      <w:proofErr w:type="spellEnd"/>
      <w:r w:rsidR="00B435F7">
        <w:t>, hvor beslutningsprocesserne i nogle tilfælde kan sammenlignes med en generalforsamling</w:t>
      </w:r>
      <w:r w:rsidR="00DD764B">
        <w:t xml:space="preserve">. Det er derfor heller ikke entydigt, at alle proklamerede variationer af DAO-konceptet i </w:t>
      </w:r>
      <w:proofErr w:type="gramStart"/>
      <w:r w:rsidR="0019174F">
        <w:t>praksis</w:t>
      </w:r>
      <w:proofErr w:type="gramEnd"/>
      <w:r w:rsidR="00DD764B">
        <w:t xml:space="preserve"> adskiller sig fra traditionelle selskabsformer. </w:t>
      </w:r>
    </w:p>
    <w:p w14:paraId="2DC8F091" w14:textId="77777777" w:rsidR="00DD764B" w:rsidRDefault="00DD764B" w:rsidP="00DD764B"/>
    <w:p w14:paraId="10C1B8E7" w14:textId="4FD296BF" w:rsidR="00DD764B" w:rsidRDefault="00BD286F" w:rsidP="00DD764B">
      <w:proofErr w:type="spellStart"/>
      <w:r>
        <w:t>Ookie</w:t>
      </w:r>
      <w:proofErr w:type="spellEnd"/>
      <w:r>
        <w:t xml:space="preserve"> Dao</w:t>
      </w:r>
      <w:r w:rsidR="00DD764B">
        <w:t>-</w:t>
      </w:r>
      <w:r w:rsidR="00771804">
        <w:t>dommen</w:t>
      </w:r>
      <w:r w:rsidR="00DD764B">
        <w:t xml:space="preserve"> </w:t>
      </w:r>
      <w:r>
        <w:t xml:space="preserve">fra USA </w:t>
      </w:r>
      <w:r w:rsidR="00DD764B">
        <w:t>er et eksempel på en afgørelse</w:t>
      </w:r>
      <w:r w:rsidR="003E6A37">
        <w:t>,</w:t>
      </w:r>
      <w:r w:rsidR="00DD764B">
        <w:t xml:space="preserve"> </w:t>
      </w:r>
      <w:r>
        <w:t xml:space="preserve">hvor </w:t>
      </w:r>
      <w:r w:rsidR="00DD764B">
        <w:t xml:space="preserve">en DAO </w:t>
      </w:r>
      <w:r>
        <w:t>bl</w:t>
      </w:r>
      <w:r w:rsidR="00975DD8">
        <w:t>ev</w:t>
      </w:r>
      <w:r>
        <w:t xml:space="preserve"> behandlet som en </w:t>
      </w:r>
      <w:r w:rsidR="00DD764B">
        <w:t>traditionel selskabs</w:t>
      </w:r>
      <w:r>
        <w:t>form.</w:t>
      </w:r>
      <w:r w:rsidR="00771804">
        <w:t xml:space="preserve"> </w:t>
      </w:r>
      <w:proofErr w:type="spellStart"/>
      <w:r>
        <w:t>Ookie</w:t>
      </w:r>
      <w:proofErr w:type="spellEnd"/>
      <w:r>
        <w:t xml:space="preserve"> Dao drev en tjeneste</w:t>
      </w:r>
      <w:r w:rsidR="00975DD8">
        <w:t>,</w:t>
      </w:r>
      <w:r>
        <w:t xml:space="preserve"> der bl.a. tilbød handel med futures</w:t>
      </w:r>
      <w:r w:rsidR="00975DD8">
        <w:t>-</w:t>
      </w:r>
      <w:r>
        <w:t>kontr</w:t>
      </w:r>
      <w:r w:rsidR="002D3C36">
        <w:t>akter.</w:t>
      </w:r>
      <w:r>
        <w:t xml:space="preserve"> </w:t>
      </w:r>
      <w:r w:rsidR="00B51469">
        <w:t>Her slog r</w:t>
      </w:r>
      <w:r w:rsidR="002D3C36">
        <w:t>etten fast</w:t>
      </w:r>
      <w:r w:rsidR="00DD764B">
        <w:t xml:space="preserve">, at </w:t>
      </w:r>
      <w:proofErr w:type="spellStart"/>
      <w:r w:rsidR="00DD764B">
        <w:t>DAO</w:t>
      </w:r>
      <w:r w:rsidR="00975DD8">
        <w:t>’</w:t>
      </w:r>
      <w:r w:rsidR="00DD764B">
        <w:t>en</w:t>
      </w:r>
      <w:proofErr w:type="spellEnd"/>
      <w:r w:rsidR="00DD764B">
        <w:t xml:space="preserve"> udgjorde et almindeligt partnerskab efter californisk lov</w:t>
      </w:r>
      <w:r w:rsidR="003E6A37">
        <w:t>,</w:t>
      </w:r>
      <w:r w:rsidR="00DD764B">
        <w:t xml:space="preserve"> og at indehaverne af </w:t>
      </w:r>
      <w:proofErr w:type="spellStart"/>
      <w:r w:rsidR="00DD764B">
        <w:t>DAO</w:t>
      </w:r>
      <w:r w:rsidR="00975DD8">
        <w:t>’</w:t>
      </w:r>
      <w:r w:rsidR="00DD764B">
        <w:t>ens</w:t>
      </w:r>
      <w:proofErr w:type="spellEnd"/>
      <w:r w:rsidR="00DD764B">
        <w:t xml:space="preserve"> </w:t>
      </w:r>
      <w:proofErr w:type="spellStart"/>
      <w:r w:rsidR="00DD764B">
        <w:t>governancetokens</w:t>
      </w:r>
      <w:proofErr w:type="spellEnd"/>
      <w:r w:rsidR="00DD764B">
        <w:t xml:space="preserve"> </w:t>
      </w:r>
      <w:r w:rsidR="005F2EF4">
        <w:t>var</w:t>
      </w:r>
      <w:r w:rsidR="00DD764B">
        <w:t xml:space="preserve"> partnere i partnerskabet</w:t>
      </w:r>
      <w:r w:rsidR="00790A9E">
        <w:rPr>
          <w:rStyle w:val="Fodnotehenvisning"/>
        </w:rPr>
        <w:footnoteReference w:id="13"/>
      </w:r>
      <w:r w:rsidR="00DD764B">
        <w:t>. I dansk kontekst minder et partnerskab mest om et interessentskab, hvor alle deltagere er solidarisk ansvarlige for virksomhedens forpligtelser.</w:t>
      </w:r>
      <w:r w:rsidR="00403214">
        <w:t xml:space="preserve"> Retten lagde i </w:t>
      </w:r>
      <w:r w:rsidR="00D81D57">
        <w:t>sin</w:t>
      </w:r>
      <w:r w:rsidR="00403214">
        <w:t xml:space="preserve"> afgørelse blandt andet vægt på, at de udstedte </w:t>
      </w:r>
      <w:proofErr w:type="spellStart"/>
      <w:r w:rsidR="00403214">
        <w:t>governancetokens</w:t>
      </w:r>
      <w:proofErr w:type="spellEnd"/>
      <w:r w:rsidR="00403214">
        <w:t xml:space="preserve"> gav indehaverne rettighederne over </w:t>
      </w:r>
      <w:proofErr w:type="spellStart"/>
      <w:r w:rsidR="00403214">
        <w:t>Ookie</w:t>
      </w:r>
      <w:proofErr w:type="spellEnd"/>
      <w:r w:rsidR="00403214">
        <w:t xml:space="preserve"> DAO, som svarede til de rettigheder</w:t>
      </w:r>
      <w:r w:rsidR="00D81D57">
        <w:t xml:space="preserve">, </w:t>
      </w:r>
      <w:r w:rsidR="00403214">
        <w:t>partnere har i et partnerskab</w:t>
      </w:r>
      <w:r w:rsidR="00D81D57">
        <w:t>,</w:t>
      </w:r>
      <w:r w:rsidR="00403214">
        <w:t xml:space="preserve"> og at </w:t>
      </w:r>
      <w:r w:rsidR="002D3C36">
        <w:t xml:space="preserve">indehavernes </w:t>
      </w:r>
      <w:r w:rsidR="00DD764B">
        <w:t>formål med erhvervelse</w:t>
      </w:r>
      <w:r w:rsidR="002D3C36">
        <w:t>n</w:t>
      </w:r>
      <w:r w:rsidR="00403214">
        <w:t xml:space="preserve"> af </w:t>
      </w:r>
      <w:proofErr w:type="spellStart"/>
      <w:r w:rsidR="00403214">
        <w:t>governancetokens</w:t>
      </w:r>
      <w:proofErr w:type="spellEnd"/>
      <w:r w:rsidR="00403214">
        <w:t xml:space="preserve"> var at tilegne sig denne rette</w:t>
      </w:r>
      <w:r w:rsidR="00DD764B">
        <w:t>.</w:t>
      </w:r>
      <w:r w:rsidR="00DD764B" w:rsidDel="00424638">
        <w:t xml:space="preserve"> </w:t>
      </w:r>
    </w:p>
    <w:p w14:paraId="72DF41AB" w14:textId="77777777" w:rsidR="00DD764B" w:rsidRDefault="00DD764B" w:rsidP="00DD764B"/>
    <w:p w14:paraId="7D134081" w14:textId="7CB8690A" w:rsidR="004821D5" w:rsidRDefault="00DD764B" w:rsidP="004821D5">
      <w:r>
        <w:t>Finanstilsynet</w:t>
      </w:r>
      <w:r w:rsidR="002233B5">
        <w:t xml:space="preserve"> vil i sin</w:t>
      </w:r>
      <w:r>
        <w:t xml:space="preserve"> vurdering </w:t>
      </w:r>
      <w:r w:rsidR="00975DD8">
        <w:t>se på</w:t>
      </w:r>
      <w:r>
        <w:t>, om samvirkets parter kollektivt kan klassificeres som en</w:t>
      </w:r>
      <w:r w:rsidR="008C1FE4">
        <w:t xml:space="preserve"> </w:t>
      </w:r>
      <w:r>
        <w:t xml:space="preserve">juridisk person, der udbyder en reguleret aktivitet. </w:t>
      </w:r>
      <w:r w:rsidR="004C0170">
        <w:t xml:space="preserve">Er det </w:t>
      </w:r>
      <w:r>
        <w:t>tilfælde</w:t>
      </w:r>
      <w:r w:rsidR="004C0170">
        <w:t>t</w:t>
      </w:r>
      <w:r w:rsidR="003170CD">
        <w:t>,</w:t>
      </w:r>
      <w:r>
        <w:t xml:space="preserve"> vil </w:t>
      </w:r>
      <w:r w:rsidR="004C0170">
        <w:t xml:space="preserve">Finanstilsynet anse </w:t>
      </w:r>
      <w:r>
        <w:t xml:space="preserve">kollektivet som </w:t>
      </w:r>
      <w:proofErr w:type="spellStart"/>
      <w:r>
        <w:t>retssubjekt</w:t>
      </w:r>
      <w:proofErr w:type="spellEnd"/>
      <w:r w:rsidR="003170CD">
        <w:t xml:space="preserve"> for </w:t>
      </w:r>
      <w:r>
        <w:t xml:space="preserve">kravene til udbydere i </w:t>
      </w:r>
      <w:proofErr w:type="spellStart"/>
      <w:r>
        <w:t>MiCA</w:t>
      </w:r>
      <w:proofErr w:type="spellEnd"/>
      <w:r>
        <w:t xml:space="preserve">. </w:t>
      </w:r>
    </w:p>
    <w:p w14:paraId="07E9485F" w14:textId="77777777" w:rsidR="00D340B7" w:rsidRDefault="00D340B7" w:rsidP="004821D5"/>
    <w:p w14:paraId="1DAA00DC" w14:textId="7450091B" w:rsidR="00D340B7" w:rsidRDefault="00D340B7" w:rsidP="00D340B7">
      <w:pPr>
        <w:pStyle w:val="Overskrift3"/>
      </w:pPr>
      <w:r>
        <w:rPr>
          <w:rFonts w:eastAsia="Arial"/>
        </w:rPr>
        <w:t xml:space="preserve">5.3.1.2. </w:t>
      </w:r>
      <w:r w:rsidRPr="00945B97">
        <w:rPr>
          <w:rFonts w:eastAsia="Arial"/>
        </w:rPr>
        <w:t xml:space="preserve">Rettigheder og koncentrationer af </w:t>
      </w:r>
      <w:proofErr w:type="spellStart"/>
      <w:r w:rsidRPr="00945B97">
        <w:rPr>
          <w:rFonts w:eastAsia="Arial"/>
        </w:rPr>
        <w:t>governancetokens</w:t>
      </w:r>
      <w:proofErr w:type="spellEnd"/>
    </w:p>
    <w:p w14:paraId="62619403" w14:textId="6F379A5A" w:rsidR="00D340B7" w:rsidRDefault="00D340B7" w:rsidP="00D340B7">
      <w:r>
        <w:t xml:space="preserve">Ligesom begrebet DAO er begrebet </w:t>
      </w:r>
      <w:proofErr w:type="spellStart"/>
      <w:r>
        <w:t>governancetoken</w:t>
      </w:r>
      <w:proofErr w:type="spellEnd"/>
      <w:r>
        <w:t xml:space="preserve"> ikke juridisk defineret – hverken indenfor dansk eller europæisk lov. Besiddelsen af </w:t>
      </w:r>
      <w:proofErr w:type="spellStart"/>
      <w:r>
        <w:t>governancetokens</w:t>
      </w:r>
      <w:proofErr w:type="spellEnd"/>
      <w:r>
        <w:t xml:space="preserve"> forudsætter dog som udgangspunkt, at personer kan deltage i en DAO. En nærmere forståelse af fordelingen af </w:t>
      </w:r>
      <w:proofErr w:type="spellStart"/>
      <w:r>
        <w:t>governancetokens</w:t>
      </w:r>
      <w:proofErr w:type="spellEnd"/>
      <w:r>
        <w:t xml:space="preserve"> og de tilknyttede rettigheder er derfor også relevant i vurderingen af ledelsesmæssig </w:t>
      </w:r>
      <w:proofErr w:type="spellStart"/>
      <w:r>
        <w:t>decentralitet</w:t>
      </w:r>
      <w:proofErr w:type="spellEnd"/>
      <w:r>
        <w:t>. Det gælder både i forhold til</w:t>
      </w:r>
      <w:r w:rsidR="00D81D57">
        <w:t>,</w:t>
      </w:r>
      <w:r>
        <w:t xml:space="preserve"> om en DAO kan sidestilles med e</w:t>
      </w:r>
      <w:r w:rsidR="008C1FE4">
        <w:t>n</w:t>
      </w:r>
      <w:r>
        <w:t xml:space="preserve"> </w:t>
      </w:r>
      <w:r w:rsidR="008C1FE4">
        <w:t>juridisk person</w:t>
      </w:r>
      <w:r>
        <w:t>, og i forhold til</w:t>
      </w:r>
      <w:r w:rsidR="00D81D57">
        <w:t>,</w:t>
      </w:r>
      <w:r>
        <w:t xml:space="preserve"> om besiddelsen af </w:t>
      </w:r>
      <w:proofErr w:type="spellStart"/>
      <w:r>
        <w:t>governancetokens</w:t>
      </w:r>
      <w:proofErr w:type="spellEnd"/>
      <w:r>
        <w:t xml:space="preserve"> selvstændigt kan medføre forpligtigelser efter </w:t>
      </w:r>
      <w:proofErr w:type="spellStart"/>
      <w:r>
        <w:t>MiCA</w:t>
      </w:r>
      <w:proofErr w:type="spellEnd"/>
      <w:r>
        <w:t xml:space="preserve">. </w:t>
      </w:r>
    </w:p>
    <w:p w14:paraId="669EA180" w14:textId="0049BBE3" w:rsidR="004821D5" w:rsidRDefault="004821D5" w:rsidP="004821D5"/>
    <w:p w14:paraId="6EA6A974" w14:textId="41168B3E" w:rsidR="004821D5" w:rsidRPr="007502F3" w:rsidRDefault="00F71F99" w:rsidP="004821D5">
      <w:pPr>
        <w:rPr>
          <w:bCs/>
        </w:rPr>
      </w:pPr>
      <w:r>
        <w:rPr>
          <w:noProof/>
        </w:rPr>
        <mc:AlternateContent>
          <mc:Choice Requires="wps">
            <w:drawing>
              <wp:anchor distT="0" distB="0" distL="114300" distR="114300" simplePos="0" relativeHeight="251666432" behindDoc="0" locked="0" layoutInCell="1" allowOverlap="1" wp14:anchorId="145EFA45" wp14:editId="5C764A8B">
                <wp:simplePos x="0" y="0"/>
                <wp:positionH relativeFrom="column">
                  <wp:posOffset>265430</wp:posOffset>
                </wp:positionH>
                <wp:positionV relativeFrom="paragraph">
                  <wp:posOffset>6350</wp:posOffset>
                </wp:positionV>
                <wp:extent cx="4859655" cy="899795"/>
                <wp:effectExtent l="0" t="0" r="0" b="0"/>
                <wp:wrapNone/>
                <wp:docPr id="1196777608" name="Rektangel: afrundede hjø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899795"/>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042506DB" w14:textId="0B0C42BD" w:rsidR="004821D5" w:rsidRPr="00945B97" w:rsidRDefault="003170CD" w:rsidP="004821D5">
                            <w:pPr>
                              <w:spacing w:line="279" w:lineRule="auto"/>
                              <w:textDirection w:val="btLr"/>
                              <w:rPr>
                                <w:i/>
                                <w:iCs/>
                              </w:rPr>
                            </w:pPr>
                            <w:r>
                              <w:rPr>
                                <w:rFonts w:eastAsia="Arial" w:cs="Arial"/>
                                <w:i/>
                                <w:iCs/>
                                <w:color w:val="000000"/>
                              </w:rPr>
                              <w:t>Finanstilsynet vurderer</w:t>
                            </w:r>
                            <w:r w:rsidR="004821D5" w:rsidRPr="00945B97">
                              <w:rPr>
                                <w:rFonts w:eastAsia="Arial" w:cs="Arial"/>
                                <w:i/>
                                <w:iCs/>
                                <w:color w:val="000000"/>
                              </w:rPr>
                              <w:t>, om rettigheder</w:t>
                            </w:r>
                            <w:r w:rsidR="00BA0E01">
                              <w:rPr>
                                <w:rFonts w:eastAsia="Arial" w:cs="Arial"/>
                                <w:i/>
                                <w:iCs/>
                                <w:color w:val="000000"/>
                              </w:rPr>
                              <w:t>ne</w:t>
                            </w:r>
                            <w:r w:rsidR="004821D5" w:rsidRPr="00945B97">
                              <w:rPr>
                                <w:rFonts w:eastAsia="Arial" w:cs="Arial"/>
                                <w:i/>
                                <w:iCs/>
                                <w:color w:val="000000"/>
                              </w:rPr>
                              <w:t xml:space="preserve">, koncentrationen af besiddelserne og distributionsmetoden for </w:t>
                            </w:r>
                            <w:proofErr w:type="spellStart"/>
                            <w:r w:rsidR="004821D5" w:rsidRPr="00945B97">
                              <w:rPr>
                                <w:rFonts w:eastAsia="Arial" w:cs="Arial"/>
                                <w:i/>
                                <w:iCs/>
                                <w:color w:val="000000"/>
                              </w:rPr>
                              <w:t>governancetokens</w:t>
                            </w:r>
                            <w:proofErr w:type="spellEnd"/>
                            <w:r w:rsidR="004821D5" w:rsidRPr="00945B97">
                              <w:rPr>
                                <w:rFonts w:eastAsia="Arial" w:cs="Arial"/>
                                <w:i/>
                                <w:iCs/>
                                <w:color w:val="000000"/>
                              </w:rPr>
                              <w:t xml:space="preserve"> giver anledning til</w:t>
                            </w:r>
                            <w:r w:rsidR="00E4282A">
                              <w:rPr>
                                <w:rFonts w:eastAsia="Arial" w:cs="Arial"/>
                                <w:i/>
                                <w:iCs/>
                                <w:color w:val="000000"/>
                              </w:rPr>
                              <w:t xml:space="preserve">, at samvirket eller </w:t>
                            </w:r>
                            <w:r w:rsidR="004821D5" w:rsidRPr="00945B97">
                              <w:rPr>
                                <w:rFonts w:eastAsia="Arial" w:cs="Arial"/>
                                <w:i/>
                                <w:iCs/>
                                <w:color w:val="000000"/>
                              </w:rPr>
                              <w:t xml:space="preserve">individuelle medlemmer af samvirket kan anses for </w:t>
                            </w:r>
                            <w:proofErr w:type="spellStart"/>
                            <w:r w:rsidR="004821D5" w:rsidRPr="00945B97">
                              <w:rPr>
                                <w:rFonts w:eastAsia="Arial" w:cs="Arial"/>
                                <w:i/>
                                <w:iCs/>
                                <w:color w:val="000000"/>
                              </w:rPr>
                              <w:t>retssubjekt</w:t>
                            </w:r>
                            <w:proofErr w:type="spellEnd"/>
                            <w:r w:rsidR="004821D5" w:rsidRPr="00945B97">
                              <w:rPr>
                                <w:rFonts w:eastAsia="Arial" w:cs="Arial"/>
                                <w:i/>
                                <w:iCs/>
                                <w:color w:val="000000"/>
                              </w:rPr>
                              <w:t xml:space="preserve"> for </w:t>
                            </w:r>
                            <w:r w:rsidR="00E4282A">
                              <w:rPr>
                                <w:rFonts w:eastAsia="Arial" w:cs="Arial"/>
                                <w:i/>
                                <w:iCs/>
                                <w:color w:val="000000"/>
                              </w:rPr>
                              <w:t xml:space="preserve">udbuddet af </w:t>
                            </w:r>
                            <w:r w:rsidR="004821D5" w:rsidRPr="00945B97">
                              <w:rPr>
                                <w:rFonts w:eastAsia="Arial" w:cs="Arial"/>
                                <w:i/>
                                <w:iCs/>
                                <w:color w:val="000000"/>
                              </w:rPr>
                              <w:t>regulerede aktivitet</w:t>
                            </w:r>
                            <w:r w:rsidR="00E4282A">
                              <w:rPr>
                                <w:rFonts w:eastAsia="Arial" w:cs="Arial"/>
                                <w:i/>
                                <w:iCs/>
                                <w:color w:val="000000"/>
                              </w:rPr>
                              <w:t>er</w:t>
                            </w:r>
                            <w:r w:rsidR="004821D5" w:rsidRPr="00945B97">
                              <w:rPr>
                                <w:rFonts w:eastAsia="Arial" w:cs="Arial"/>
                                <w:i/>
                                <w:iCs/>
                                <w:color w:val="000000"/>
                              </w:rPr>
                              <w:t xml:space="preserve">.  </w:t>
                            </w:r>
                          </w:p>
                          <w:p w14:paraId="1B84A0D4" w14:textId="77777777" w:rsidR="004821D5" w:rsidRPr="00945B97" w:rsidRDefault="004821D5" w:rsidP="004821D5">
                            <w:pPr>
                              <w:spacing w:line="279" w:lineRule="auto"/>
                              <w:textDirection w:val="btLr"/>
                              <w:rPr>
                                <w:i/>
                                <w:iCs/>
                              </w:rPr>
                            </w:pPr>
                            <w:r w:rsidRPr="00945B97">
                              <w:rPr>
                                <w:rFonts w:eastAsia="Arial" w:cs="Arial"/>
                                <w:i/>
                                <w:iCs/>
                                <w:color w:val="000000"/>
                              </w:rPr>
                              <w:t xml:space="preserve"> </w:t>
                            </w:r>
                          </w:p>
                          <w:p w14:paraId="4A1AB15E" w14:textId="77777777" w:rsidR="004821D5" w:rsidRPr="00945B97" w:rsidRDefault="004821D5" w:rsidP="004821D5">
                            <w:pPr>
                              <w:spacing w:line="279" w:lineRule="auto"/>
                              <w:textDirection w:val="btLr"/>
                              <w:rPr>
                                <w:i/>
                                <w:iCs/>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45EFA45" id="Rektangel: afrundede hjørner 2" o:spid="_x0000_s1036" style="position:absolute;left:0;text-align:left;margin-left:20.9pt;margin-top:.5pt;width:382.6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" fillcolor="#f2f2f2">
                <v:stroke startarrowwidth="narrow" startarrowlength="short" endarrowwidth="narrow" endarrowlength="short"/>
                <v:textbox inset="2.53958mm,1.2694mm,2.53958mm,1.2694mm">
                  <w:txbxContent>
                    <w:p w14:paraId="042506DB" w14:textId="0B0C42BD" w:rsidR="004821D5" w:rsidRPr="00945B97" w:rsidRDefault="003170CD" w:rsidP="004821D5">
                      <w:pPr>
                        <w:spacing w:line="279" w:lineRule="auto"/>
                        <w:textDirection w:val="btLr"/>
                        <w:rPr>
                          <w:i/>
                          <w:iCs/>
                        </w:rPr>
                      </w:pPr>
                      <w:r>
                        <w:rPr>
                          <w:rFonts w:eastAsia="Arial" w:cs="Arial"/>
                          <w:i/>
                          <w:iCs/>
                          <w:color w:val="000000"/>
                        </w:rPr>
                        <w:t>Finanstilsynet vurderer</w:t>
                      </w:r>
                      <w:r w:rsidR="004821D5" w:rsidRPr="00945B97">
                        <w:rPr>
                          <w:rFonts w:eastAsia="Arial" w:cs="Arial"/>
                          <w:i/>
                          <w:iCs/>
                          <w:color w:val="000000"/>
                        </w:rPr>
                        <w:t>, om rettigheder</w:t>
                      </w:r>
                      <w:r w:rsidR="00BA0E01">
                        <w:rPr>
                          <w:rFonts w:eastAsia="Arial" w:cs="Arial"/>
                          <w:i/>
                          <w:iCs/>
                          <w:color w:val="000000"/>
                        </w:rPr>
                        <w:t>ne</w:t>
                      </w:r>
                      <w:r w:rsidR="004821D5" w:rsidRPr="00945B97">
                        <w:rPr>
                          <w:rFonts w:eastAsia="Arial" w:cs="Arial"/>
                          <w:i/>
                          <w:iCs/>
                          <w:color w:val="000000"/>
                        </w:rPr>
                        <w:t>, koncentrationen af besiddelserne og distributionsmetoden for governancetokens giver anledning til</w:t>
                      </w:r>
                      <w:r w:rsidR="00E4282A">
                        <w:rPr>
                          <w:rFonts w:eastAsia="Arial" w:cs="Arial"/>
                          <w:i/>
                          <w:iCs/>
                          <w:color w:val="000000"/>
                        </w:rPr>
                        <w:t xml:space="preserve">, at samvirket eller </w:t>
                      </w:r>
                      <w:r w:rsidR="004821D5" w:rsidRPr="00945B97">
                        <w:rPr>
                          <w:rFonts w:eastAsia="Arial" w:cs="Arial"/>
                          <w:i/>
                          <w:iCs/>
                          <w:color w:val="000000"/>
                        </w:rPr>
                        <w:t xml:space="preserve">individuelle medlemmer af samvirket kan anses for retssubjekt for </w:t>
                      </w:r>
                      <w:r w:rsidR="00E4282A">
                        <w:rPr>
                          <w:rFonts w:eastAsia="Arial" w:cs="Arial"/>
                          <w:i/>
                          <w:iCs/>
                          <w:color w:val="000000"/>
                        </w:rPr>
                        <w:t xml:space="preserve">udbuddet af </w:t>
                      </w:r>
                      <w:r w:rsidR="004821D5" w:rsidRPr="00945B97">
                        <w:rPr>
                          <w:rFonts w:eastAsia="Arial" w:cs="Arial"/>
                          <w:i/>
                          <w:iCs/>
                          <w:color w:val="000000"/>
                        </w:rPr>
                        <w:t>regulerede aktivitet</w:t>
                      </w:r>
                      <w:r w:rsidR="00E4282A">
                        <w:rPr>
                          <w:rFonts w:eastAsia="Arial" w:cs="Arial"/>
                          <w:i/>
                          <w:iCs/>
                          <w:color w:val="000000"/>
                        </w:rPr>
                        <w:t>er</w:t>
                      </w:r>
                      <w:r w:rsidR="004821D5" w:rsidRPr="00945B97">
                        <w:rPr>
                          <w:rFonts w:eastAsia="Arial" w:cs="Arial"/>
                          <w:i/>
                          <w:iCs/>
                          <w:color w:val="000000"/>
                        </w:rPr>
                        <w:t xml:space="preserve">.  </w:t>
                      </w:r>
                    </w:p>
                    <w:p w14:paraId="1B84A0D4" w14:textId="77777777" w:rsidR="004821D5" w:rsidRPr="00945B97" w:rsidRDefault="004821D5" w:rsidP="004821D5">
                      <w:pPr>
                        <w:spacing w:line="279" w:lineRule="auto"/>
                        <w:textDirection w:val="btLr"/>
                        <w:rPr>
                          <w:i/>
                          <w:iCs/>
                        </w:rPr>
                      </w:pPr>
                      <w:r w:rsidRPr="00945B97">
                        <w:rPr>
                          <w:rFonts w:eastAsia="Arial" w:cs="Arial"/>
                          <w:i/>
                          <w:iCs/>
                          <w:color w:val="000000"/>
                        </w:rPr>
                        <w:t xml:space="preserve"> </w:t>
                      </w:r>
                    </w:p>
                    <w:p w14:paraId="4A1AB15E" w14:textId="77777777" w:rsidR="004821D5" w:rsidRPr="00945B97" w:rsidRDefault="004821D5" w:rsidP="004821D5">
                      <w:pPr>
                        <w:spacing w:line="279" w:lineRule="auto"/>
                        <w:textDirection w:val="btLr"/>
                        <w:rPr>
                          <w:i/>
                          <w:iCs/>
                        </w:rPr>
                      </w:pPr>
                    </w:p>
                  </w:txbxContent>
                </v:textbox>
              </v:roundrect>
            </w:pict>
          </mc:Fallback>
        </mc:AlternateContent>
      </w:r>
    </w:p>
    <w:p w14:paraId="0ABFADF2" w14:textId="77777777" w:rsidR="004821D5" w:rsidRDefault="004821D5" w:rsidP="004821D5"/>
    <w:p w14:paraId="7680D87B" w14:textId="77777777" w:rsidR="004821D5" w:rsidRDefault="004821D5" w:rsidP="004821D5"/>
    <w:p w14:paraId="47FDD008" w14:textId="77777777" w:rsidR="004821D5" w:rsidRDefault="004821D5" w:rsidP="004821D5"/>
    <w:p w14:paraId="6F22ABBA" w14:textId="77777777" w:rsidR="004821D5" w:rsidRDefault="004821D5" w:rsidP="004821D5"/>
    <w:p w14:paraId="20230332" w14:textId="77777777" w:rsidR="004821D5" w:rsidRDefault="004821D5" w:rsidP="004821D5"/>
    <w:p w14:paraId="68B4718C" w14:textId="51CAC017" w:rsidR="00B10D31" w:rsidRDefault="004821D5" w:rsidP="004821D5">
      <w:proofErr w:type="spellStart"/>
      <w:r>
        <w:t>Governancetokens</w:t>
      </w:r>
      <w:proofErr w:type="spellEnd"/>
      <w:r>
        <w:t xml:space="preserve"> kan</w:t>
      </w:r>
      <w:r w:rsidR="00577878">
        <w:t>,</w:t>
      </w:r>
      <w:r>
        <w:t xml:space="preserve"> ligesom andre </w:t>
      </w:r>
      <w:proofErr w:type="spellStart"/>
      <w:r>
        <w:t>tokens</w:t>
      </w:r>
      <w:proofErr w:type="spellEnd"/>
      <w:r w:rsidR="00577878">
        <w:t>,</w:t>
      </w:r>
      <w:r>
        <w:t xml:space="preserve"> struktureres med de rettigheder, som udstederen ønsker. De indeholder ofte stemmerettigheder, og besiddelsen kan desuden være en betingelse for at stille beslutningsforslag</w:t>
      </w:r>
      <w:r w:rsidR="00945BDD">
        <w:t xml:space="preserve"> i en DAO</w:t>
      </w:r>
      <w:r>
        <w:t xml:space="preserve">. Derudover giver de, hvis den udbudte tjeneste ellers er drevet med </w:t>
      </w:r>
      <w:r w:rsidR="004C0170">
        <w:t>profit</w:t>
      </w:r>
      <w:r>
        <w:t xml:space="preserve">, som regel også ret til en del </w:t>
      </w:r>
      <w:r w:rsidR="004C0170">
        <w:t xml:space="preserve">af </w:t>
      </w:r>
      <w:r w:rsidR="00B32EE1">
        <w:t>denne</w:t>
      </w:r>
      <w:r>
        <w:t>. I visse tilfælde kan rettighederne udmøntes på en</w:t>
      </w:r>
      <w:r w:rsidR="00577878">
        <w:t xml:space="preserve"> </w:t>
      </w:r>
      <w:r>
        <w:t xml:space="preserve">udbyttelignende måde, hvor en DAO på baggrund af en afstemning udbetaler en andel af </w:t>
      </w:r>
      <w:r w:rsidR="004C0170">
        <w:t>d</w:t>
      </w:r>
      <w:r>
        <w:t>en akkumulere</w:t>
      </w:r>
      <w:r w:rsidR="004C0170">
        <w:t>de</w:t>
      </w:r>
      <w:r>
        <w:t xml:space="preserve"> </w:t>
      </w:r>
      <w:r w:rsidR="004C0170">
        <w:t>profit</w:t>
      </w:r>
      <w:r>
        <w:t xml:space="preserve"> til </w:t>
      </w:r>
      <w:r w:rsidR="00645438">
        <w:t xml:space="preserve">indehavere </w:t>
      </w:r>
      <w:r>
        <w:t xml:space="preserve">af </w:t>
      </w:r>
      <w:proofErr w:type="spellStart"/>
      <w:r>
        <w:t>governancetokens</w:t>
      </w:r>
      <w:proofErr w:type="spellEnd"/>
      <w:r>
        <w:t xml:space="preserve">. Andre gange er de økonomiske rettigheder specificeret i smartkontrakternes kode, så </w:t>
      </w:r>
      <w:r w:rsidR="004C0170">
        <w:t xml:space="preserve">profitten </w:t>
      </w:r>
      <w:r>
        <w:t>fordeles og udbetales</w:t>
      </w:r>
      <w:r w:rsidR="00B32EE1">
        <w:t>,</w:t>
      </w:r>
      <w:r>
        <w:t xml:space="preserve"> s</w:t>
      </w:r>
      <w:r w:rsidR="00577878">
        <w:t>amtidig</w:t>
      </w:r>
      <w:r>
        <w:t xml:space="preserve"> med at de</w:t>
      </w:r>
      <w:r w:rsidR="004C0170">
        <w:t>n</w:t>
      </w:r>
      <w:r>
        <w:t xml:space="preserve"> generes. </w:t>
      </w:r>
      <w:r w:rsidR="00577878">
        <w:t>Disse f</w:t>
      </w:r>
      <w:r w:rsidR="00945BDD">
        <w:t xml:space="preserve">orhold </w:t>
      </w:r>
      <w:r w:rsidR="00577878">
        <w:t>viser</w:t>
      </w:r>
      <w:r w:rsidR="00945BDD">
        <w:t xml:space="preserve">, at </w:t>
      </w:r>
      <w:r w:rsidR="00577878">
        <w:t xml:space="preserve">de </w:t>
      </w:r>
      <w:r w:rsidR="00945BDD">
        <w:t>rettigheder</w:t>
      </w:r>
      <w:r w:rsidR="00577878">
        <w:t xml:space="preserve">, som </w:t>
      </w:r>
      <w:proofErr w:type="spellStart"/>
      <w:r w:rsidR="00577878">
        <w:t>governancetokens</w:t>
      </w:r>
      <w:proofErr w:type="spellEnd"/>
      <w:r w:rsidR="00577878">
        <w:t xml:space="preserve"> </w:t>
      </w:r>
      <w:r w:rsidR="00945BDD">
        <w:t>repræsentere</w:t>
      </w:r>
      <w:r w:rsidR="00577878">
        <w:t xml:space="preserve">r, til en vis grad </w:t>
      </w:r>
      <w:r w:rsidR="0020345A">
        <w:t xml:space="preserve">kan </w:t>
      </w:r>
      <w:r w:rsidR="00577878">
        <w:t xml:space="preserve">ligne </w:t>
      </w:r>
      <w:r w:rsidR="00645438">
        <w:t>rettigheder</w:t>
      </w:r>
      <w:r w:rsidR="00B32EE1">
        <w:t>,</w:t>
      </w:r>
      <w:r w:rsidR="00645438">
        <w:t xml:space="preserve"> som tilkommer ejere af </w:t>
      </w:r>
      <w:r w:rsidR="00330C63">
        <w:t xml:space="preserve">traditionelle </w:t>
      </w:r>
      <w:r w:rsidR="00945BDD">
        <w:t>virksomhedsformer. De</w:t>
      </w:r>
      <w:r w:rsidR="00994187">
        <w:t xml:space="preserve">r kan </w:t>
      </w:r>
      <w:r w:rsidR="004C0170">
        <w:t xml:space="preserve">også </w:t>
      </w:r>
      <w:r w:rsidR="0012265D">
        <w:t xml:space="preserve">være store forskelle i de ledelsesmæssige rettigheder, </w:t>
      </w:r>
      <w:r w:rsidR="00994187">
        <w:t>som</w:t>
      </w:r>
      <w:r w:rsidR="0012265D">
        <w:t xml:space="preserve"> </w:t>
      </w:r>
      <w:r w:rsidR="00994187">
        <w:t xml:space="preserve">følger med </w:t>
      </w:r>
      <w:r w:rsidR="0012265D">
        <w:t xml:space="preserve">forskellige </w:t>
      </w:r>
      <w:proofErr w:type="spellStart"/>
      <w:r w:rsidR="0012265D">
        <w:t>governancetokens</w:t>
      </w:r>
      <w:proofErr w:type="spellEnd"/>
      <w:r w:rsidR="0012265D">
        <w:t xml:space="preserve">. </w:t>
      </w:r>
      <w:r w:rsidR="004C0170">
        <w:t>N</w:t>
      </w:r>
      <w:r w:rsidR="0012265D">
        <w:t xml:space="preserve">ogle </w:t>
      </w:r>
      <w:proofErr w:type="spellStart"/>
      <w:r w:rsidR="0012265D">
        <w:t>governancetokens</w:t>
      </w:r>
      <w:proofErr w:type="spellEnd"/>
      <w:r w:rsidR="0012265D">
        <w:t xml:space="preserve"> giver indehaverne ret til at deltage i beslutninger om tjenestens kerneydelser</w:t>
      </w:r>
      <w:r w:rsidR="004C0170">
        <w:t>. A</w:t>
      </w:r>
      <w:r w:rsidR="0012265D">
        <w:t>ndre</w:t>
      </w:r>
      <w:r w:rsidR="004C0170">
        <w:t xml:space="preserve"> giver</w:t>
      </w:r>
      <w:r w:rsidR="0012265D">
        <w:t xml:space="preserve"> alene mulighed for at deltage i beslutninger af sekundær karakter til kerneydelsen, </w:t>
      </w:r>
      <w:r w:rsidR="00B348EB">
        <w:t xml:space="preserve">f.eks. beslutninger om </w:t>
      </w:r>
      <w:r w:rsidR="0012265D">
        <w:t>tjenestens logo, navn mm.</w:t>
      </w:r>
      <w:r w:rsidR="006321F8">
        <w:t xml:space="preserve"> </w:t>
      </w:r>
    </w:p>
    <w:p w14:paraId="3D55E466" w14:textId="77777777" w:rsidR="00B10D31" w:rsidRDefault="00B10D31" w:rsidP="004821D5"/>
    <w:p w14:paraId="7C34B35C" w14:textId="56F4F685" w:rsidR="001E0A82" w:rsidRDefault="001E0A82" w:rsidP="004821D5">
      <w:r>
        <w:t xml:space="preserve">I forhold til vurderingen af </w:t>
      </w:r>
      <w:proofErr w:type="spellStart"/>
      <w:r>
        <w:t>decentralitet</w:t>
      </w:r>
      <w:proofErr w:type="spellEnd"/>
      <w:r>
        <w:t xml:space="preserve"> er det</w:t>
      </w:r>
      <w:r w:rsidR="007F6CBD">
        <w:t xml:space="preserve"> derfor</w:t>
      </w:r>
      <w:r>
        <w:t xml:space="preserve"> afgørende </w:t>
      </w:r>
      <w:r w:rsidR="007F6CBD">
        <w:t xml:space="preserve">at se på </w:t>
      </w:r>
      <w:r>
        <w:t xml:space="preserve">rettighederne tilknyttet de pågældende </w:t>
      </w:r>
      <w:proofErr w:type="spellStart"/>
      <w:r>
        <w:t>tokens</w:t>
      </w:r>
      <w:proofErr w:type="spellEnd"/>
      <w:r w:rsidR="007F6CBD">
        <w:t xml:space="preserve"> i relation til organiseringen af den kreds </w:t>
      </w:r>
      <w:r>
        <w:t>af aktører</w:t>
      </w:r>
      <w:r w:rsidR="007F6CBD">
        <w:t xml:space="preserve">, der besidder dem. Hvis rettighederne </w:t>
      </w:r>
      <w:r w:rsidR="00AF429C">
        <w:t xml:space="preserve">f.eks. </w:t>
      </w:r>
      <w:r w:rsidR="007F6CBD">
        <w:t xml:space="preserve">muliggør beslutning om forhold, der er væsentlige for udøvelsen af den regulerede aktivitet, </w:t>
      </w:r>
      <w:r w:rsidR="00AF429C">
        <w:t xml:space="preserve">såsom adgang til at tilgå en tjeneste, </w:t>
      </w:r>
      <w:r w:rsidR="007F6CBD">
        <w:t xml:space="preserve">taler det for </w:t>
      </w:r>
      <w:proofErr w:type="spellStart"/>
      <w:r w:rsidR="007F6CBD">
        <w:t>centralitet</w:t>
      </w:r>
      <w:proofErr w:type="spellEnd"/>
      <w:r w:rsidR="007F6CBD">
        <w:t>.</w:t>
      </w:r>
      <w:r w:rsidR="00AF429C">
        <w:t xml:space="preserve"> Det vil yderligere understøtte en sådan vurdering, hvis besiddelsen af </w:t>
      </w:r>
      <w:proofErr w:type="spellStart"/>
      <w:r w:rsidR="00AF429C">
        <w:t>governancetokens</w:t>
      </w:r>
      <w:proofErr w:type="spellEnd"/>
      <w:r w:rsidR="00AF429C">
        <w:t xml:space="preserve"> er koncentreret hos enkelte aktører. O</w:t>
      </w:r>
      <w:r w:rsidR="007F6CBD">
        <w:t xml:space="preserve">mvendt </w:t>
      </w:r>
      <w:r w:rsidR="00AF429C">
        <w:t xml:space="preserve">vil det tale for </w:t>
      </w:r>
      <w:proofErr w:type="spellStart"/>
      <w:r w:rsidR="00AF429C">
        <w:t>decentralitet</w:t>
      </w:r>
      <w:proofErr w:type="spellEnd"/>
      <w:r w:rsidR="00AF429C">
        <w:t>, hvis indehaverne af</w:t>
      </w:r>
      <w:r w:rsidR="007F6CBD">
        <w:t xml:space="preserve"> </w:t>
      </w:r>
      <w:proofErr w:type="spellStart"/>
      <w:r w:rsidR="007F6CBD">
        <w:t>governancetokens</w:t>
      </w:r>
      <w:proofErr w:type="spellEnd"/>
      <w:r w:rsidR="007F6CBD">
        <w:t>, ikke kan siges at handle i et organiseret fællesskab</w:t>
      </w:r>
      <w:r w:rsidR="00425F49">
        <w:t xml:space="preserve">, uanset de tilknyttede rettigheder. </w:t>
      </w:r>
    </w:p>
    <w:p w14:paraId="02C6ECBB" w14:textId="77777777" w:rsidR="001E0A82" w:rsidRDefault="001E0A82" w:rsidP="004821D5"/>
    <w:p w14:paraId="3CDB9610" w14:textId="46EF15E0" w:rsidR="002233B5" w:rsidRDefault="00193B99" w:rsidP="004821D5">
      <w:proofErr w:type="spellStart"/>
      <w:r>
        <w:t>G</w:t>
      </w:r>
      <w:r w:rsidR="004821D5">
        <w:t>overnancetokens</w:t>
      </w:r>
      <w:proofErr w:type="spellEnd"/>
      <w:r w:rsidR="004821D5">
        <w:t xml:space="preserve"> </w:t>
      </w:r>
      <w:r w:rsidR="0012265D">
        <w:t xml:space="preserve">kan </w:t>
      </w:r>
      <w:r w:rsidR="0020345A">
        <w:t xml:space="preserve">til forskel fra mere traditionelle kapitalandele </w:t>
      </w:r>
      <w:r w:rsidR="00425F49">
        <w:t xml:space="preserve">desuden </w:t>
      </w:r>
      <w:r w:rsidR="004821D5">
        <w:t xml:space="preserve">tilegnes </w:t>
      </w:r>
      <w:r>
        <w:t xml:space="preserve">både </w:t>
      </w:r>
      <w:r w:rsidR="004821D5">
        <w:t>frivilligt og ufrivilligt</w:t>
      </w:r>
      <w:r w:rsidR="002233B5">
        <w:t>:</w:t>
      </w:r>
      <w:r w:rsidR="004821D5">
        <w:t xml:space="preserve"> </w:t>
      </w:r>
    </w:p>
    <w:p w14:paraId="36CF7885" w14:textId="77777777" w:rsidR="002233B5" w:rsidRDefault="002233B5" w:rsidP="004821D5"/>
    <w:p w14:paraId="225F0FE8" w14:textId="7AA04B2C" w:rsidR="002233B5" w:rsidRDefault="00292A5C" w:rsidP="00437C13">
      <w:pPr>
        <w:pStyle w:val="Listeafsnit"/>
        <w:numPr>
          <w:ilvl w:val="0"/>
          <w:numId w:val="41"/>
        </w:numPr>
      </w:pPr>
      <w:r>
        <w:t>En frivillig</w:t>
      </w:r>
      <w:r w:rsidR="00B435F7">
        <w:t xml:space="preserve"> tilegnelse</w:t>
      </w:r>
      <w:r>
        <w:t xml:space="preserve"> sker som </w:t>
      </w:r>
      <w:r w:rsidR="004821D5">
        <w:t xml:space="preserve">investering i såkaldte </w:t>
      </w:r>
      <w:proofErr w:type="spellStart"/>
      <w:r w:rsidR="004821D5">
        <w:t>ICO</w:t>
      </w:r>
      <w:r w:rsidR="00627F54">
        <w:t>’</w:t>
      </w:r>
      <w:r w:rsidR="004821D5">
        <w:t>er</w:t>
      </w:r>
      <w:proofErr w:type="spellEnd"/>
      <w:r w:rsidR="00994187">
        <w:t xml:space="preserve">. </w:t>
      </w:r>
    </w:p>
    <w:p w14:paraId="77D48E22" w14:textId="1EE74BF0" w:rsidR="002233B5" w:rsidRDefault="00292A5C" w:rsidP="00437C13">
      <w:pPr>
        <w:pStyle w:val="Listeafsnit"/>
        <w:numPr>
          <w:ilvl w:val="0"/>
          <w:numId w:val="41"/>
        </w:numPr>
      </w:pPr>
      <w:r>
        <w:t>En ufrivillig</w:t>
      </w:r>
      <w:r w:rsidR="00B435F7">
        <w:t xml:space="preserve"> tilegnelse</w:t>
      </w:r>
      <w:r>
        <w:t xml:space="preserve"> sker</w:t>
      </w:r>
      <w:r w:rsidR="002233B5">
        <w:t xml:space="preserve"> på en af følgende to måder:</w:t>
      </w:r>
    </w:p>
    <w:p w14:paraId="2A135708" w14:textId="7DBBEE0E" w:rsidR="002233B5" w:rsidRDefault="004821D5" w:rsidP="00645438">
      <w:pPr>
        <w:pStyle w:val="Listeafsnit"/>
        <w:numPr>
          <w:ilvl w:val="1"/>
          <w:numId w:val="38"/>
        </w:numPr>
      </w:pPr>
      <w:r>
        <w:t>gennem brugen af den underliggende tjeneste</w:t>
      </w:r>
    </w:p>
    <w:p w14:paraId="621B335D" w14:textId="0CDA94A7" w:rsidR="002233B5" w:rsidRDefault="004821D5" w:rsidP="00645438">
      <w:pPr>
        <w:pStyle w:val="Listeafsnit"/>
        <w:numPr>
          <w:ilvl w:val="1"/>
          <w:numId w:val="38"/>
        </w:numPr>
      </w:pPr>
      <w:r>
        <w:t>som led i tjenestens markedsføring</w:t>
      </w:r>
      <w:r w:rsidR="00B10D31">
        <w:t xml:space="preserve">. </w:t>
      </w:r>
    </w:p>
    <w:p w14:paraId="6F745A52" w14:textId="77777777" w:rsidR="002233B5" w:rsidRDefault="002233B5" w:rsidP="004821D5"/>
    <w:p w14:paraId="299F77BC" w14:textId="77777777" w:rsidR="00425F49" w:rsidRDefault="00292A5C" w:rsidP="004821D5">
      <w:r>
        <w:t xml:space="preserve">For begge </w:t>
      </w:r>
      <w:r w:rsidR="00B435F7">
        <w:t xml:space="preserve">typer af </w:t>
      </w:r>
      <w:r>
        <w:t xml:space="preserve">ufrivillige </w:t>
      </w:r>
      <w:r w:rsidR="00B435F7">
        <w:t xml:space="preserve">tilegnelser </w:t>
      </w:r>
      <w:r>
        <w:t>gælder, at</w:t>
      </w:r>
      <w:r w:rsidR="004821D5">
        <w:t xml:space="preserve"> </w:t>
      </w:r>
      <w:proofErr w:type="spellStart"/>
      <w:r w:rsidR="004821D5">
        <w:t>governancetokens</w:t>
      </w:r>
      <w:proofErr w:type="spellEnd"/>
      <w:r w:rsidR="004821D5">
        <w:t xml:space="preserve"> uddeles</w:t>
      </w:r>
      <w:r w:rsidR="00B348EB">
        <w:t>,</w:t>
      </w:r>
      <w:r w:rsidR="004821D5">
        <w:t xml:space="preserve"> uagtet om modtageren ønsker det. </w:t>
      </w:r>
      <w:r w:rsidR="00B10D31">
        <w:t xml:space="preserve">I eksemplet </w:t>
      </w:r>
      <w:r>
        <w:t xml:space="preserve">i afsnit 4.2 </w:t>
      </w:r>
      <w:r w:rsidR="00B10D31">
        <w:t xml:space="preserve">kunne det være i tilfælde, hvor </w:t>
      </w:r>
      <w:r w:rsidR="00835355">
        <w:t xml:space="preserve">en </w:t>
      </w:r>
      <w:r w:rsidR="00193B99">
        <w:t xml:space="preserve">DEX er drevet af en DAO, og </w:t>
      </w:r>
      <w:r w:rsidR="00B10D31">
        <w:t xml:space="preserve">brugere af </w:t>
      </w:r>
      <w:proofErr w:type="spellStart"/>
      <w:r w:rsidR="00B10D31">
        <w:t>DEX</w:t>
      </w:r>
      <w:r>
        <w:t>’</w:t>
      </w:r>
      <w:r w:rsidR="00B10D31">
        <w:t>en</w:t>
      </w:r>
      <w:proofErr w:type="spellEnd"/>
      <w:r w:rsidR="00B10D31">
        <w:t xml:space="preserve"> modtager </w:t>
      </w:r>
      <w:proofErr w:type="spellStart"/>
      <w:r w:rsidR="00B10D31">
        <w:t>governancetokens</w:t>
      </w:r>
      <w:proofErr w:type="spellEnd"/>
      <w:r w:rsidR="00B10D31">
        <w:t xml:space="preserve"> til </w:t>
      </w:r>
      <w:proofErr w:type="spellStart"/>
      <w:r w:rsidR="00B10D31">
        <w:t>DAO</w:t>
      </w:r>
      <w:r>
        <w:t>’</w:t>
      </w:r>
      <w:r w:rsidR="00193B99">
        <w:t>en</w:t>
      </w:r>
      <w:proofErr w:type="spellEnd"/>
      <w:r w:rsidR="00B348EB">
        <w:t>,</w:t>
      </w:r>
      <w:r w:rsidR="00193B99">
        <w:t xml:space="preserve"> </w:t>
      </w:r>
      <w:r w:rsidR="00B10D31">
        <w:t xml:space="preserve">hver gang de handler på </w:t>
      </w:r>
      <w:proofErr w:type="spellStart"/>
      <w:r w:rsidR="00B10D31">
        <w:t>DEX</w:t>
      </w:r>
      <w:r>
        <w:t>’</w:t>
      </w:r>
      <w:r w:rsidR="00B10D31">
        <w:t>en</w:t>
      </w:r>
      <w:proofErr w:type="spellEnd"/>
      <w:r w:rsidR="00B10D31">
        <w:t xml:space="preserve">. </w:t>
      </w:r>
      <w:r>
        <w:t>Det kunne også ske</w:t>
      </w:r>
      <w:r w:rsidR="00B10D31">
        <w:t xml:space="preserve"> gennem såkaldte </w:t>
      </w:r>
      <w:proofErr w:type="spellStart"/>
      <w:r w:rsidR="00B10D31" w:rsidRPr="00645438">
        <w:t>airdrops</w:t>
      </w:r>
      <w:proofErr w:type="spellEnd"/>
      <w:r w:rsidR="00B10D31" w:rsidRPr="00292A5C">
        <w:t>,</w:t>
      </w:r>
      <w:r w:rsidR="00B10D31">
        <w:t xml:space="preserve"> hvor </w:t>
      </w:r>
      <w:proofErr w:type="spellStart"/>
      <w:r w:rsidR="00B10D31">
        <w:t>DEX</w:t>
      </w:r>
      <w:r>
        <w:t>’</w:t>
      </w:r>
      <w:r w:rsidR="00B10D31">
        <w:t>ens</w:t>
      </w:r>
      <w:proofErr w:type="spellEnd"/>
      <w:r w:rsidR="00B10D31">
        <w:t xml:space="preserve"> DAO uddeler </w:t>
      </w:r>
      <w:proofErr w:type="spellStart"/>
      <w:r w:rsidR="00B10D31">
        <w:t>governancetokens</w:t>
      </w:r>
      <w:proofErr w:type="spellEnd"/>
      <w:r w:rsidR="00B10D31">
        <w:t xml:space="preserve"> til </w:t>
      </w:r>
      <w:r w:rsidR="00645438">
        <w:t xml:space="preserve">indehavere </w:t>
      </w:r>
      <w:r w:rsidR="00B10D31">
        <w:t xml:space="preserve">af andre </w:t>
      </w:r>
      <w:proofErr w:type="spellStart"/>
      <w:r w:rsidR="00B10D31">
        <w:t>tokens</w:t>
      </w:r>
      <w:proofErr w:type="spellEnd"/>
      <w:r w:rsidRPr="00292A5C">
        <w:t xml:space="preserve"> </w:t>
      </w:r>
      <w:r>
        <w:t>som led i sin markedsføring</w:t>
      </w:r>
      <w:r w:rsidR="00B10D31">
        <w:t>.</w:t>
      </w:r>
      <w:r w:rsidR="00B10D31" w:rsidRPr="00B10D31">
        <w:t xml:space="preserve"> </w:t>
      </w:r>
      <w:r w:rsidR="00B10D31">
        <w:t xml:space="preserve">En ufrivillig tilegnelse af </w:t>
      </w:r>
      <w:r w:rsidR="00994187">
        <w:t xml:space="preserve">en </w:t>
      </w:r>
      <w:r w:rsidR="00B10D31">
        <w:t>andel er ikke normal praksis for traditionelle virksomheds</w:t>
      </w:r>
      <w:r w:rsidR="00E4282A">
        <w:t>f</w:t>
      </w:r>
      <w:r w:rsidR="00B10D31">
        <w:t>ormer.</w:t>
      </w:r>
      <w:r w:rsidR="006321F8" w:rsidRPr="006321F8">
        <w:t xml:space="preserve"> </w:t>
      </w:r>
    </w:p>
    <w:p w14:paraId="48203F22" w14:textId="554DF66D" w:rsidR="0012265D" w:rsidRDefault="00B435F7" w:rsidP="004821D5">
      <w:r>
        <w:t xml:space="preserve">Tilegnes </w:t>
      </w:r>
      <w:proofErr w:type="spellStart"/>
      <w:r w:rsidR="006321F8">
        <w:t>governancetokens</w:t>
      </w:r>
      <w:proofErr w:type="spellEnd"/>
      <w:r w:rsidR="006321F8">
        <w:t xml:space="preserve"> ufrivilligt vil det som udgangspunkt tale for </w:t>
      </w:r>
      <w:proofErr w:type="spellStart"/>
      <w:r w:rsidR="006321F8">
        <w:t>decentralitet</w:t>
      </w:r>
      <w:proofErr w:type="spellEnd"/>
      <w:r w:rsidR="006321F8">
        <w:t xml:space="preserve">. </w:t>
      </w:r>
      <w:r w:rsidR="00425F49">
        <w:t xml:space="preserve">Omvendt kan forhold, som at modtagerne efterfølgende aktivt anvender beslutningskompetencen, tale for </w:t>
      </w:r>
      <w:proofErr w:type="spellStart"/>
      <w:r w:rsidR="00425F49">
        <w:t>centralitet</w:t>
      </w:r>
      <w:proofErr w:type="spellEnd"/>
      <w:r w:rsidR="00425F49">
        <w:t xml:space="preserve">. Det kunne f.eks. være i tilfælde, hvor </w:t>
      </w:r>
      <w:proofErr w:type="spellStart"/>
      <w:r w:rsidR="008C4F0C">
        <w:t>governancetokens</w:t>
      </w:r>
      <w:proofErr w:type="spellEnd"/>
      <w:r w:rsidR="008C4F0C">
        <w:t xml:space="preserve"> kun tildeles de aktører, der i forvejen frivilligt har tilegnet sig </w:t>
      </w:r>
      <w:r w:rsidR="009C00DF">
        <w:t xml:space="preserve">tilsvarende </w:t>
      </w:r>
      <w:proofErr w:type="spellStart"/>
      <w:r w:rsidR="008C4F0C">
        <w:t>governancetokens</w:t>
      </w:r>
      <w:proofErr w:type="spellEnd"/>
      <w:r w:rsidR="008C4F0C">
        <w:t xml:space="preserve">. </w:t>
      </w:r>
    </w:p>
    <w:p w14:paraId="3B70DDBC" w14:textId="77777777" w:rsidR="009C00DF" w:rsidRDefault="009C00DF" w:rsidP="004821D5"/>
    <w:p w14:paraId="79E72F75" w14:textId="5B2CE2E1" w:rsidR="00DD764B" w:rsidRDefault="009944A9" w:rsidP="00DD764B">
      <w:r>
        <w:t xml:space="preserve">Det er derfor centralt for Finanstilsynets vurdering af </w:t>
      </w:r>
      <w:proofErr w:type="spellStart"/>
      <w:r>
        <w:t>decentralitet</w:t>
      </w:r>
      <w:proofErr w:type="spellEnd"/>
      <w:r>
        <w:t xml:space="preserve"> i ledelseslaget, hvilke</w:t>
      </w:r>
      <w:r w:rsidR="0012265D">
        <w:t xml:space="preserve"> rettigheder</w:t>
      </w:r>
      <w:r>
        <w:t xml:space="preserve"> der er</w:t>
      </w:r>
      <w:r w:rsidR="0012265D">
        <w:t xml:space="preserve"> tilknyttet </w:t>
      </w:r>
      <w:proofErr w:type="spellStart"/>
      <w:r w:rsidR="0012265D">
        <w:t>governancetokens</w:t>
      </w:r>
      <w:proofErr w:type="spellEnd"/>
      <w:r>
        <w:t xml:space="preserve">, </w:t>
      </w:r>
      <w:r w:rsidR="00B10D31">
        <w:t xml:space="preserve">og </w:t>
      </w:r>
      <w:r>
        <w:t>hvordan de er tilegnet</w:t>
      </w:r>
      <w:r w:rsidR="006321F8">
        <w:t xml:space="preserve"> og anvendes</w:t>
      </w:r>
      <w:r>
        <w:t>.</w:t>
      </w:r>
      <w:r w:rsidR="0012265D">
        <w:t xml:space="preserve"> </w:t>
      </w:r>
      <w:r>
        <w:t xml:space="preserve">Det </w:t>
      </w:r>
      <w:r>
        <w:lastRenderedPageBreak/>
        <w:t xml:space="preserve">gælder </w:t>
      </w:r>
      <w:r w:rsidR="0012265D">
        <w:t xml:space="preserve">i forhold til </w:t>
      </w:r>
      <w:r>
        <w:t>at vurdere,</w:t>
      </w:r>
      <w:r w:rsidR="0012265D">
        <w:t xml:space="preserve"> om samvirket udgør en traditionel virksomhedsform</w:t>
      </w:r>
      <w:r>
        <w:t xml:space="preserve">. Det gælder dog </w:t>
      </w:r>
      <w:r w:rsidR="001A6467">
        <w:t>også</w:t>
      </w:r>
      <w:r w:rsidR="00E4282A">
        <w:t>, hv</w:t>
      </w:r>
      <w:r w:rsidR="00CA12D0">
        <w:t>is</w:t>
      </w:r>
      <w:r w:rsidR="00E4282A">
        <w:t xml:space="preserve"> samvirket ikke kollektivt udgør </w:t>
      </w:r>
      <w:r w:rsidR="00193B99">
        <w:t xml:space="preserve">et </w:t>
      </w:r>
      <w:proofErr w:type="spellStart"/>
      <w:r w:rsidR="00193B99">
        <w:t>retssubjekt</w:t>
      </w:r>
      <w:proofErr w:type="spellEnd"/>
      <w:r w:rsidR="00CA12D0">
        <w:t xml:space="preserve">. Det kunne </w:t>
      </w:r>
      <w:r>
        <w:t xml:space="preserve">f.eks. </w:t>
      </w:r>
      <w:r w:rsidR="00CA12D0">
        <w:t>være i tilfælde af, at</w:t>
      </w:r>
      <w:r w:rsidR="001A6467">
        <w:t xml:space="preserve"> </w:t>
      </w:r>
      <w:r w:rsidR="0012265D">
        <w:t>beslutningskompetence</w:t>
      </w:r>
      <w:r w:rsidR="00B10D31">
        <w:t>r</w:t>
      </w:r>
      <w:r w:rsidR="00994187">
        <w:t>ne er koncentreret hos enkelte personer</w:t>
      </w:r>
      <w:r w:rsidR="0012265D">
        <w:t xml:space="preserve">, som </w:t>
      </w:r>
      <w:r w:rsidR="00994187">
        <w:t xml:space="preserve">giver dem </w:t>
      </w:r>
      <w:r w:rsidR="0012265D">
        <w:t xml:space="preserve">mulighed for at </w:t>
      </w:r>
      <w:r w:rsidR="00242C59">
        <w:t>råde</w:t>
      </w:r>
      <w:r w:rsidR="0012265D">
        <w:t xml:space="preserve"> over den regulerede aktivitet</w:t>
      </w:r>
      <w:r w:rsidR="00B32EE1">
        <w:t>, som f.eks. hvis</w:t>
      </w:r>
      <w:r>
        <w:t xml:space="preserve"> en </w:t>
      </w:r>
      <w:r w:rsidR="00994187">
        <w:t xml:space="preserve">enkelt </w:t>
      </w:r>
      <w:r w:rsidR="00B10D31">
        <w:t xml:space="preserve">person besidder </w:t>
      </w:r>
      <w:r w:rsidR="00B10D31" w:rsidRPr="00B10D31">
        <w:t>over 50 p</w:t>
      </w:r>
      <w:r>
        <w:t>ct.</w:t>
      </w:r>
      <w:r w:rsidR="00B10D31" w:rsidRPr="00B10D31">
        <w:t xml:space="preserve"> af </w:t>
      </w:r>
      <w:r w:rsidR="00B10D31">
        <w:t xml:space="preserve">de udstedte </w:t>
      </w:r>
      <w:proofErr w:type="spellStart"/>
      <w:r w:rsidR="00B10D31">
        <w:t>governancetokens</w:t>
      </w:r>
      <w:proofErr w:type="spellEnd"/>
      <w:r w:rsidR="00B10D31">
        <w:t xml:space="preserve"> og der</w:t>
      </w:r>
      <w:r>
        <w:t>med</w:t>
      </w:r>
      <w:r w:rsidR="00B10D31">
        <w:t xml:space="preserve"> </w:t>
      </w:r>
      <w:r w:rsidR="00242C59">
        <w:t>råder</w:t>
      </w:r>
      <w:r w:rsidR="00B10D31">
        <w:t xml:space="preserve"> over udbuddet af den regulerede aktivitet.</w:t>
      </w:r>
      <w:r w:rsidR="00E4282A">
        <w:t xml:space="preserve"> </w:t>
      </w:r>
    </w:p>
    <w:p w14:paraId="18741C46" w14:textId="77777777" w:rsidR="00437C13" w:rsidRDefault="00437C13" w:rsidP="00DD764B"/>
    <w:p w14:paraId="7175E792" w14:textId="08883E1D" w:rsidR="00D340B7" w:rsidRDefault="00D340B7" w:rsidP="00D340B7">
      <w:pPr>
        <w:pStyle w:val="Overskrift3"/>
        <w:rPr>
          <w:rFonts w:eastAsia="Arial"/>
        </w:rPr>
      </w:pPr>
      <w:r>
        <w:rPr>
          <w:rFonts w:eastAsia="Arial"/>
        </w:rPr>
        <w:t>5.3.1.3. Selvstændige b</w:t>
      </w:r>
      <w:r w:rsidRPr="00811EA4">
        <w:rPr>
          <w:rFonts w:eastAsia="Arial"/>
        </w:rPr>
        <w:t xml:space="preserve">eslutningsudøvende </w:t>
      </w:r>
      <w:proofErr w:type="spellStart"/>
      <w:r>
        <w:rPr>
          <w:rFonts w:eastAsia="Arial"/>
        </w:rPr>
        <w:t>retssubjekter</w:t>
      </w:r>
      <w:proofErr w:type="spellEnd"/>
    </w:p>
    <w:p w14:paraId="5F489793" w14:textId="3B8045C5" w:rsidR="00D340B7" w:rsidRPr="00D340B7" w:rsidRDefault="00B32EE1" w:rsidP="00D340B7">
      <w:r>
        <w:t xml:space="preserve">Selvom </w:t>
      </w:r>
      <w:r w:rsidR="00D340B7">
        <w:t xml:space="preserve">en DAO i sin helhed ikke klassificeres som et selvstændigt </w:t>
      </w:r>
      <w:proofErr w:type="spellStart"/>
      <w:r w:rsidR="00D340B7">
        <w:t>retssubjekt</w:t>
      </w:r>
      <w:proofErr w:type="spellEnd"/>
      <w:r w:rsidR="00D340B7">
        <w:t xml:space="preserve">, som f.eks. en traditionel virksomhedsform, er det fortsat relevant at vurdere, om enkeltpersoner eller organer bestående af fysiske eller juridiske personer kan udgøre </w:t>
      </w:r>
      <w:proofErr w:type="spellStart"/>
      <w:r w:rsidR="00D340B7">
        <w:t>retssubjekter</w:t>
      </w:r>
      <w:proofErr w:type="spellEnd"/>
      <w:r w:rsidR="00D340B7">
        <w:t xml:space="preserve"> i forhold til udbuddet af regulerede aktiviteter. Det gælder nærmere bestemt i tilfælde, hvor aktører</w:t>
      </w:r>
      <w:r>
        <w:t>,</w:t>
      </w:r>
      <w:r w:rsidR="00D340B7">
        <w:t xml:space="preserve"> der kan udgøre </w:t>
      </w:r>
      <w:proofErr w:type="spellStart"/>
      <w:r w:rsidR="00D340B7">
        <w:t>retssubjekter</w:t>
      </w:r>
      <w:proofErr w:type="spellEnd"/>
      <w:r>
        <w:t>,</w:t>
      </w:r>
      <w:r w:rsidR="00D340B7">
        <w:t xml:space="preserve"> har en rolle, som giver dem mulighed for selvstændigt at råde over udbuddet. Sådanne aktører er typisk en del af det kollektive samvirke, men det er </w:t>
      </w:r>
      <w:r w:rsidR="00D340B7">
        <w:rPr>
          <w:bCs/>
        </w:rPr>
        <w:t xml:space="preserve">ikke en forudsætning for at få delegeret beslutningskompetencer for samvirket. Aktørerne kan også </w:t>
      </w:r>
      <w:r w:rsidR="00D340B7" w:rsidRPr="002C54A6">
        <w:rPr>
          <w:bCs/>
        </w:rPr>
        <w:t>ans</w:t>
      </w:r>
      <w:r w:rsidR="00D340B7">
        <w:rPr>
          <w:bCs/>
        </w:rPr>
        <w:t>ættes</w:t>
      </w:r>
      <w:r w:rsidR="00D340B7" w:rsidRPr="002C54A6">
        <w:rPr>
          <w:bCs/>
        </w:rPr>
        <w:t xml:space="preserve"> af </w:t>
      </w:r>
      <w:proofErr w:type="spellStart"/>
      <w:r w:rsidR="00D340B7" w:rsidRPr="002C54A6">
        <w:rPr>
          <w:bCs/>
        </w:rPr>
        <w:t>DAO</w:t>
      </w:r>
      <w:r w:rsidR="00D340B7">
        <w:rPr>
          <w:bCs/>
        </w:rPr>
        <w:t>’</w:t>
      </w:r>
      <w:r w:rsidR="00D340B7" w:rsidRPr="002C54A6">
        <w:rPr>
          <w:bCs/>
        </w:rPr>
        <w:t>en</w:t>
      </w:r>
      <w:proofErr w:type="spellEnd"/>
      <w:r w:rsidR="00D340B7">
        <w:rPr>
          <w:bCs/>
        </w:rPr>
        <w:t xml:space="preserve"> mod en form for </w:t>
      </w:r>
      <w:r w:rsidR="00D340B7" w:rsidRPr="002C54A6">
        <w:rPr>
          <w:bCs/>
        </w:rPr>
        <w:t>betaling</w:t>
      </w:r>
      <w:r w:rsidR="00D340B7">
        <w:rPr>
          <w:bCs/>
        </w:rPr>
        <w:t xml:space="preserve">, f.eks. i </w:t>
      </w:r>
      <w:proofErr w:type="spellStart"/>
      <w:r w:rsidR="00D340B7">
        <w:rPr>
          <w:bCs/>
        </w:rPr>
        <w:t>DAO’ens</w:t>
      </w:r>
      <w:proofErr w:type="spellEnd"/>
      <w:r w:rsidR="00D340B7">
        <w:rPr>
          <w:bCs/>
        </w:rPr>
        <w:t xml:space="preserve"> </w:t>
      </w:r>
      <w:proofErr w:type="spellStart"/>
      <w:r w:rsidR="00D340B7" w:rsidRPr="002C54A6">
        <w:rPr>
          <w:bCs/>
        </w:rPr>
        <w:t>governancetokens</w:t>
      </w:r>
      <w:proofErr w:type="spellEnd"/>
      <w:r w:rsidR="00D340B7">
        <w:rPr>
          <w:bCs/>
        </w:rPr>
        <w:t xml:space="preserve"> eller andre </w:t>
      </w:r>
      <w:proofErr w:type="spellStart"/>
      <w:r w:rsidR="00D340B7">
        <w:rPr>
          <w:bCs/>
        </w:rPr>
        <w:t>kryptoaktiver</w:t>
      </w:r>
      <w:proofErr w:type="spellEnd"/>
      <w:r w:rsidR="00D340B7">
        <w:rPr>
          <w:bCs/>
        </w:rPr>
        <w:t xml:space="preserve">. </w:t>
      </w:r>
    </w:p>
    <w:p w14:paraId="3514A2E6" w14:textId="3701FA26" w:rsidR="00DD764B" w:rsidRDefault="00F71F99" w:rsidP="00DD764B">
      <w:r>
        <w:rPr>
          <w:noProof/>
        </w:rPr>
        <mc:AlternateContent>
          <mc:Choice Requires="wps">
            <w:drawing>
              <wp:anchor distT="0" distB="0" distL="114300" distR="114300" simplePos="0" relativeHeight="251665408" behindDoc="0" locked="0" layoutInCell="1" allowOverlap="1" wp14:anchorId="66BA4B07" wp14:editId="28E0113C">
                <wp:simplePos x="0" y="0"/>
                <wp:positionH relativeFrom="column">
                  <wp:posOffset>265430</wp:posOffset>
                </wp:positionH>
                <wp:positionV relativeFrom="paragraph">
                  <wp:posOffset>171450</wp:posOffset>
                </wp:positionV>
                <wp:extent cx="4860290" cy="899795"/>
                <wp:effectExtent l="0" t="0" r="0" b="0"/>
                <wp:wrapNone/>
                <wp:docPr id="849006817" name="Rektangel: afrundede hjø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899795"/>
                        </a:xfrm>
                        <a:prstGeom prst="roundRect">
                          <a:avLst>
                            <a:gd name="adj" fmla="val 16667"/>
                          </a:avLst>
                        </a:prstGeom>
                        <a:solidFill>
                          <a:srgbClr val="F2F2F2"/>
                        </a:solidFill>
                        <a:ln w="9525">
                          <a:solidFill>
                            <a:srgbClr val="000000"/>
                          </a:solidFill>
                          <a:round/>
                          <a:headEnd type="none" w="sm" len="sm"/>
                          <a:tailEnd type="none" w="sm" len="sm"/>
                        </a:ln>
                      </wps:spPr>
                      <wps:txbx>
                        <w:txbxContent>
                          <w:p w14:paraId="2BBDFE42" w14:textId="5480CF9F" w:rsidR="00DD764B" w:rsidRPr="00AF71F0" w:rsidRDefault="009944A9" w:rsidP="00DD764B">
                            <w:pPr>
                              <w:spacing w:line="279" w:lineRule="auto"/>
                              <w:textDirection w:val="btLr"/>
                              <w:rPr>
                                <w:rFonts w:eastAsia="Arial" w:cs="Arial"/>
                                <w:color w:val="000000"/>
                              </w:rPr>
                            </w:pPr>
                            <w:r>
                              <w:rPr>
                                <w:rFonts w:eastAsia="Arial" w:cs="Arial"/>
                                <w:i/>
                                <w:iCs/>
                                <w:color w:val="000000"/>
                              </w:rPr>
                              <w:t>Finanstilsynet vurderer</w:t>
                            </w:r>
                            <w:r w:rsidR="00DD764B" w:rsidRPr="00432C56">
                              <w:rPr>
                                <w:rFonts w:eastAsia="Arial" w:cs="Arial"/>
                                <w:i/>
                                <w:iCs/>
                                <w:color w:val="000000"/>
                              </w:rPr>
                              <w:t>, om</w:t>
                            </w:r>
                            <w:r w:rsidR="00432C56">
                              <w:rPr>
                                <w:rFonts w:eastAsia="Arial" w:cs="Arial"/>
                                <w:i/>
                                <w:iCs/>
                                <w:color w:val="000000"/>
                              </w:rPr>
                              <w:t xml:space="preserve"> </w:t>
                            </w:r>
                            <w:proofErr w:type="spellStart"/>
                            <w:r w:rsidR="00432C56">
                              <w:rPr>
                                <w:rFonts w:eastAsia="Arial" w:cs="Arial"/>
                                <w:i/>
                                <w:iCs/>
                                <w:color w:val="000000"/>
                              </w:rPr>
                              <w:t>retssubjekter</w:t>
                            </w:r>
                            <w:proofErr w:type="spellEnd"/>
                            <w:r w:rsidR="00432C56">
                              <w:rPr>
                                <w:rFonts w:eastAsia="Arial" w:cs="Arial"/>
                                <w:i/>
                                <w:iCs/>
                                <w:color w:val="000000"/>
                              </w:rPr>
                              <w:t xml:space="preserve"> i form af </w:t>
                            </w:r>
                            <w:r w:rsidR="00432C56" w:rsidRPr="00432C56">
                              <w:rPr>
                                <w:rFonts w:eastAsia="Arial" w:cs="Arial"/>
                                <w:i/>
                                <w:iCs/>
                                <w:color w:val="000000"/>
                              </w:rPr>
                              <w:t>enkeltpersoner</w:t>
                            </w:r>
                            <w:r w:rsidR="00B32EE1">
                              <w:rPr>
                                <w:rFonts w:eastAsia="Arial" w:cs="Arial"/>
                                <w:i/>
                                <w:iCs/>
                                <w:color w:val="000000"/>
                              </w:rPr>
                              <w:t xml:space="preserve"> </w:t>
                            </w:r>
                            <w:r w:rsidR="00432C56" w:rsidRPr="00432C56">
                              <w:rPr>
                                <w:rFonts w:eastAsia="Arial" w:cs="Arial"/>
                                <w:i/>
                                <w:iCs/>
                                <w:color w:val="000000"/>
                              </w:rPr>
                              <w:t xml:space="preserve">eller mindre samvirker (organer) </w:t>
                            </w:r>
                            <w:r w:rsidR="00432C56">
                              <w:rPr>
                                <w:rFonts w:eastAsia="Arial" w:cs="Arial"/>
                                <w:i/>
                                <w:iCs/>
                                <w:color w:val="000000"/>
                              </w:rPr>
                              <w:t>besidder beslutningskompetencer i en sådan grad, at de</w:t>
                            </w:r>
                            <w:r w:rsidR="006F7A67">
                              <w:rPr>
                                <w:rFonts w:eastAsia="Arial" w:cs="Arial"/>
                                <w:i/>
                                <w:iCs/>
                                <w:color w:val="000000"/>
                              </w:rPr>
                              <w:t xml:space="preserve"> </w:t>
                            </w:r>
                            <w:r w:rsidR="004C0170">
                              <w:rPr>
                                <w:rFonts w:eastAsia="Arial" w:cs="Arial"/>
                                <w:i/>
                                <w:iCs/>
                                <w:color w:val="000000"/>
                              </w:rPr>
                              <w:t>råde</w:t>
                            </w:r>
                            <w:r>
                              <w:rPr>
                                <w:rFonts w:eastAsia="Arial" w:cs="Arial"/>
                                <w:i/>
                                <w:iCs/>
                                <w:color w:val="000000"/>
                              </w:rPr>
                              <w:t>r</w:t>
                            </w:r>
                            <w:r w:rsidR="00432C56">
                              <w:rPr>
                                <w:rFonts w:eastAsia="Arial" w:cs="Arial"/>
                                <w:i/>
                                <w:iCs/>
                                <w:color w:val="000000"/>
                              </w:rPr>
                              <w:t xml:space="preserve"> over udbuddet af regulerede aktiviteter</w:t>
                            </w:r>
                            <w:r w:rsidR="006F7A67">
                              <w:rPr>
                                <w:rFonts w:eastAsia="Arial" w:cs="Arial"/>
                                <w:i/>
                                <w:iCs/>
                                <w:color w:val="000000"/>
                              </w:rPr>
                              <w:t xml:space="preserve">, </w:t>
                            </w:r>
                            <w:r>
                              <w:rPr>
                                <w:rFonts w:eastAsia="Arial" w:cs="Arial"/>
                                <w:i/>
                                <w:iCs/>
                                <w:color w:val="000000"/>
                              </w:rPr>
                              <w:t xml:space="preserve">uanset </w:t>
                            </w:r>
                            <w:r w:rsidR="003441A0">
                              <w:rPr>
                                <w:rFonts w:eastAsia="Arial" w:cs="Arial"/>
                                <w:i/>
                                <w:iCs/>
                                <w:color w:val="000000"/>
                              </w:rPr>
                              <w:t xml:space="preserve">om de besidder en </w:t>
                            </w:r>
                            <w:r w:rsidR="00256897">
                              <w:rPr>
                                <w:rFonts w:eastAsia="Arial" w:cs="Arial"/>
                                <w:i/>
                                <w:iCs/>
                                <w:color w:val="000000"/>
                              </w:rPr>
                              <w:t xml:space="preserve">andel i </w:t>
                            </w:r>
                            <w:r w:rsidR="003441A0">
                              <w:rPr>
                                <w:rFonts w:eastAsia="Arial" w:cs="Arial"/>
                                <w:i/>
                                <w:iCs/>
                                <w:color w:val="000000"/>
                              </w:rPr>
                              <w:t>det kollektive samvirke</w:t>
                            </w:r>
                            <w:r w:rsidR="006F7A67">
                              <w:rPr>
                                <w:rFonts w:eastAsia="Arial" w:cs="Arial"/>
                                <w:i/>
                                <w:iCs/>
                                <w:color w:val="000000"/>
                              </w:rPr>
                              <w:t xml:space="preserve">. </w:t>
                            </w:r>
                            <w:r w:rsidR="00432C56">
                              <w:rPr>
                                <w:rFonts w:eastAsia="Arial" w:cs="Arial"/>
                                <w:i/>
                                <w:iCs/>
                                <w:color w:val="000000"/>
                              </w:rPr>
                              <w:t xml:space="preserve"> </w:t>
                            </w:r>
                          </w:p>
                          <w:p w14:paraId="32D0034B" w14:textId="77777777" w:rsidR="00DD764B" w:rsidRDefault="00DD764B" w:rsidP="00DD764B">
                            <w:pPr>
                              <w:spacing w:line="279" w:lineRule="auto"/>
                              <w:ind w:left="425"/>
                              <w:textDirection w:val="btLr"/>
                            </w:pPr>
                          </w:p>
                          <w:p w14:paraId="711B1B80" w14:textId="77777777" w:rsidR="00DD764B" w:rsidRDefault="00DD764B" w:rsidP="00DD764B">
                            <w:pPr>
                              <w:spacing w:line="279" w:lineRule="auto"/>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6BA4B07" id="Rektangel: afrundede hjørner 1" o:spid="_x0000_s1037" style="position:absolute;left:0;text-align:left;margin-left:20.9pt;margin-top:13.5pt;width:382.7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" fillcolor="#f2f2f2">
                <v:stroke startarrowwidth="narrow" startarrowlength="short" endarrowwidth="narrow" endarrowlength="short"/>
                <v:textbox inset="2.53958mm,1.2694mm,2.53958mm,1.2694mm">
                  <w:txbxContent>
                    <w:p w14:paraId="2BBDFE42" w14:textId="5480CF9F" w:rsidR="00DD764B" w:rsidRPr="00AF71F0" w:rsidRDefault="009944A9" w:rsidP="00DD764B">
                      <w:pPr>
                        <w:spacing w:line="279" w:lineRule="auto"/>
                        <w:textDirection w:val="btLr"/>
                        <w:rPr>
                          <w:rFonts w:eastAsia="Arial" w:cs="Arial"/>
                          <w:color w:val="000000"/>
                        </w:rPr>
                      </w:pPr>
                      <w:r>
                        <w:rPr>
                          <w:rFonts w:eastAsia="Arial" w:cs="Arial"/>
                          <w:i/>
                          <w:iCs/>
                          <w:color w:val="000000"/>
                        </w:rPr>
                        <w:t>Finanstilsynet vurderer</w:t>
                      </w:r>
                      <w:r w:rsidR="00DD764B" w:rsidRPr="00432C56">
                        <w:rPr>
                          <w:rFonts w:eastAsia="Arial" w:cs="Arial"/>
                          <w:i/>
                          <w:iCs/>
                          <w:color w:val="000000"/>
                        </w:rPr>
                        <w:t>, om</w:t>
                      </w:r>
                      <w:r w:rsidR="00432C56">
                        <w:rPr>
                          <w:rFonts w:eastAsia="Arial" w:cs="Arial"/>
                          <w:i/>
                          <w:iCs/>
                          <w:color w:val="000000"/>
                        </w:rPr>
                        <w:t xml:space="preserve"> retssubjekter i form af </w:t>
                      </w:r>
                      <w:r w:rsidR="00432C56" w:rsidRPr="00432C56">
                        <w:rPr>
                          <w:rFonts w:eastAsia="Arial" w:cs="Arial"/>
                          <w:i/>
                          <w:iCs/>
                          <w:color w:val="000000"/>
                        </w:rPr>
                        <w:t>enkeltpersoner</w:t>
                      </w:r>
                      <w:r w:rsidR="00B32EE1">
                        <w:rPr>
                          <w:rFonts w:eastAsia="Arial" w:cs="Arial"/>
                          <w:i/>
                          <w:iCs/>
                          <w:color w:val="000000"/>
                        </w:rPr>
                        <w:t xml:space="preserve"> </w:t>
                      </w:r>
                      <w:r w:rsidR="00432C56" w:rsidRPr="00432C56">
                        <w:rPr>
                          <w:rFonts w:eastAsia="Arial" w:cs="Arial"/>
                          <w:i/>
                          <w:iCs/>
                          <w:color w:val="000000"/>
                        </w:rPr>
                        <w:t xml:space="preserve">eller mindre samvirker (organer) </w:t>
                      </w:r>
                      <w:r w:rsidR="00432C56">
                        <w:rPr>
                          <w:rFonts w:eastAsia="Arial" w:cs="Arial"/>
                          <w:i/>
                          <w:iCs/>
                          <w:color w:val="000000"/>
                        </w:rPr>
                        <w:t>besidder beslutningskompetencer i en sådan grad, at de</w:t>
                      </w:r>
                      <w:r w:rsidR="006F7A67">
                        <w:rPr>
                          <w:rFonts w:eastAsia="Arial" w:cs="Arial"/>
                          <w:i/>
                          <w:iCs/>
                          <w:color w:val="000000"/>
                        </w:rPr>
                        <w:t xml:space="preserve"> </w:t>
                      </w:r>
                      <w:r w:rsidR="004C0170">
                        <w:rPr>
                          <w:rFonts w:eastAsia="Arial" w:cs="Arial"/>
                          <w:i/>
                          <w:iCs/>
                          <w:color w:val="000000"/>
                        </w:rPr>
                        <w:t>råde</w:t>
                      </w:r>
                      <w:r>
                        <w:rPr>
                          <w:rFonts w:eastAsia="Arial" w:cs="Arial"/>
                          <w:i/>
                          <w:iCs/>
                          <w:color w:val="000000"/>
                        </w:rPr>
                        <w:t>r</w:t>
                      </w:r>
                      <w:r w:rsidR="00432C56">
                        <w:rPr>
                          <w:rFonts w:eastAsia="Arial" w:cs="Arial"/>
                          <w:i/>
                          <w:iCs/>
                          <w:color w:val="000000"/>
                        </w:rPr>
                        <w:t xml:space="preserve"> over udbuddet af regulerede aktiviteter</w:t>
                      </w:r>
                      <w:r w:rsidR="006F7A67">
                        <w:rPr>
                          <w:rFonts w:eastAsia="Arial" w:cs="Arial"/>
                          <w:i/>
                          <w:iCs/>
                          <w:color w:val="000000"/>
                        </w:rPr>
                        <w:t xml:space="preserve">, </w:t>
                      </w:r>
                      <w:r>
                        <w:rPr>
                          <w:rFonts w:eastAsia="Arial" w:cs="Arial"/>
                          <w:i/>
                          <w:iCs/>
                          <w:color w:val="000000"/>
                        </w:rPr>
                        <w:t xml:space="preserve">uanset </w:t>
                      </w:r>
                      <w:r w:rsidR="003441A0">
                        <w:rPr>
                          <w:rFonts w:eastAsia="Arial" w:cs="Arial"/>
                          <w:i/>
                          <w:iCs/>
                          <w:color w:val="000000"/>
                        </w:rPr>
                        <w:t xml:space="preserve">om de besidder en </w:t>
                      </w:r>
                      <w:r w:rsidR="00256897">
                        <w:rPr>
                          <w:rFonts w:eastAsia="Arial" w:cs="Arial"/>
                          <w:i/>
                          <w:iCs/>
                          <w:color w:val="000000"/>
                        </w:rPr>
                        <w:t xml:space="preserve">andel i </w:t>
                      </w:r>
                      <w:r w:rsidR="003441A0">
                        <w:rPr>
                          <w:rFonts w:eastAsia="Arial" w:cs="Arial"/>
                          <w:i/>
                          <w:iCs/>
                          <w:color w:val="000000"/>
                        </w:rPr>
                        <w:t>det kollektive samvirke</w:t>
                      </w:r>
                      <w:r w:rsidR="006F7A67">
                        <w:rPr>
                          <w:rFonts w:eastAsia="Arial" w:cs="Arial"/>
                          <w:i/>
                          <w:iCs/>
                          <w:color w:val="000000"/>
                        </w:rPr>
                        <w:t xml:space="preserve">. </w:t>
                      </w:r>
                      <w:r w:rsidR="00432C56">
                        <w:rPr>
                          <w:rFonts w:eastAsia="Arial" w:cs="Arial"/>
                          <w:i/>
                          <w:iCs/>
                          <w:color w:val="000000"/>
                        </w:rPr>
                        <w:t xml:space="preserve"> </w:t>
                      </w:r>
                    </w:p>
                    <w:p w14:paraId="32D0034B" w14:textId="77777777" w:rsidR="00DD764B" w:rsidRDefault="00DD764B" w:rsidP="00DD764B">
                      <w:pPr>
                        <w:spacing w:line="279" w:lineRule="auto"/>
                        <w:ind w:left="425"/>
                        <w:textDirection w:val="btLr"/>
                      </w:pPr>
                    </w:p>
                    <w:p w14:paraId="711B1B80" w14:textId="77777777" w:rsidR="00DD764B" w:rsidRDefault="00DD764B" w:rsidP="00DD764B">
                      <w:pPr>
                        <w:spacing w:line="279" w:lineRule="auto"/>
                        <w:textDirection w:val="btLr"/>
                      </w:pPr>
                    </w:p>
                  </w:txbxContent>
                </v:textbox>
              </v:roundrect>
            </w:pict>
          </mc:Fallback>
        </mc:AlternateContent>
      </w:r>
    </w:p>
    <w:p w14:paraId="73BA3415" w14:textId="77777777" w:rsidR="00DD764B" w:rsidRDefault="00DD764B" w:rsidP="00DD764B"/>
    <w:p w14:paraId="496D045C" w14:textId="77777777" w:rsidR="00DD764B" w:rsidRDefault="00DD764B" w:rsidP="00DD764B"/>
    <w:p w14:paraId="764D2BA3" w14:textId="77777777" w:rsidR="00DD764B" w:rsidRDefault="00DD764B" w:rsidP="00DD764B"/>
    <w:p w14:paraId="099013D7" w14:textId="77777777" w:rsidR="00DD764B" w:rsidRDefault="00DD764B" w:rsidP="00DD764B"/>
    <w:p w14:paraId="7755C9E3" w14:textId="77777777" w:rsidR="00DD764B" w:rsidRDefault="00DD764B" w:rsidP="00DD764B"/>
    <w:p w14:paraId="312EFECE" w14:textId="77777777" w:rsidR="00DD764B" w:rsidRDefault="00DD764B" w:rsidP="00DD764B"/>
    <w:p w14:paraId="025A00B3" w14:textId="1170E93C" w:rsidR="00725FCB" w:rsidRDefault="00B564DE" w:rsidP="00DD764B">
      <w:r>
        <w:t xml:space="preserve">Der kan være flere årsager til, </w:t>
      </w:r>
      <w:r w:rsidR="0087011A">
        <w:t xml:space="preserve">at beslutninger og ansvar udliciteres fra </w:t>
      </w:r>
      <w:proofErr w:type="spellStart"/>
      <w:r w:rsidR="0087011A">
        <w:t>DAO</w:t>
      </w:r>
      <w:r w:rsidR="00E200C8">
        <w:t>’</w:t>
      </w:r>
      <w:r w:rsidR="0087011A">
        <w:t>ens</w:t>
      </w:r>
      <w:proofErr w:type="spellEnd"/>
      <w:r w:rsidR="0087011A">
        <w:t xml:space="preserve"> medlemmer til denne type aktører</w:t>
      </w:r>
      <w:r>
        <w:t>. Det kan f.eks. være</w:t>
      </w:r>
      <w:r w:rsidR="00725FCB">
        <w:t xml:space="preserve"> </w:t>
      </w:r>
      <w:r w:rsidR="00DD764B">
        <w:t>hensynet til en effektiv drift</w:t>
      </w:r>
      <w:r>
        <w:t xml:space="preserve"> i tilfælde, hvor</w:t>
      </w:r>
      <w:r w:rsidR="00776F1A">
        <w:t xml:space="preserve"> v</w:t>
      </w:r>
      <w:r w:rsidR="00DD764B">
        <w:t>isse driftsmæssige beslutninger</w:t>
      </w:r>
      <w:r w:rsidR="00C43D16">
        <w:t xml:space="preserve"> ikke </w:t>
      </w:r>
      <w:r>
        <w:t xml:space="preserve">kan </w:t>
      </w:r>
      <w:r w:rsidR="00DD764B">
        <w:t xml:space="preserve">afvente en beslutningsproces i </w:t>
      </w:r>
      <w:proofErr w:type="spellStart"/>
      <w:r w:rsidR="00DD764B">
        <w:t>DAO</w:t>
      </w:r>
      <w:r w:rsidR="00776F1A">
        <w:t>’</w:t>
      </w:r>
      <w:r w:rsidR="00DD764B">
        <w:t>en</w:t>
      </w:r>
      <w:proofErr w:type="spellEnd"/>
      <w:r w:rsidR="00DD764B">
        <w:t xml:space="preserve">. </w:t>
      </w:r>
      <w:proofErr w:type="spellStart"/>
      <w:r w:rsidR="00C43D16">
        <w:rPr>
          <w:bCs/>
        </w:rPr>
        <w:t>DAO</w:t>
      </w:r>
      <w:r w:rsidR="00776F1A">
        <w:rPr>
          <w:bCs/>
        </w:rPr>
        <w:t>’</w:t>
      </w:r>
      <w:r w:rsidR="00C43D16">
        <w:rPr>
          <w:bCs/>
        </w:rPr>
        <w:t>en</w:t>
      </w:r>
      <w:proofErr w:type="spellEnd"/>
      <w:r w:rsidR="00C43D16">
        <w:rPr>
          <w:bCs/>
        </w:rPr>
        <w:t xml:space="preserve"> kan i praksis delegere alle former for opgaver til </w:t>
      </w:r>
      <w:r w:rsidR="0087011A">
        <w:rPr>
          <w:bCs/>
        </w:rPr>
        <w:t>aktører</w:t>
      </w:r>
      <w:r w:rsidR="00776F1A">
        <w:rPr>
          <w:bCs/>
        </w:rPr>
        <w:t>ne</w:t>
      </w:r>
      <w:r w:rsidR="00C43D16">
        <w:t xml:space="preserve">, </w:t>
      </w:r>
      <w:r w:rsidR="00776F1A">
        <w:t>f.eks.</w:t>
      </w:r>
      <w:r w:rsidR="0087011A">
        <w:t xml:space="preserve"> ledelsesmæssige opgaver, </w:t>
      </w:r>
      <w:r w:rsidR="00CA12D0">
        <w:t xml:space="preserve">opgaver i forbindelse med </w:t>
      </w:r>
      <w:r w:rsidR="00DD764B">
        <w:t xml:space="preserve">compliance- og risikostyring </w:t>
      </w:r>
      <w:r w:rsidR="00C43D16">
        <w:t xml:space="preserve">eller </w:t>
      </w:r>
      <w:r w:rsidR="00CA12D0">
        <w:t xml:space="preserve">opgaver af </w:t>
      </w:r>
      <w:r w:rsidR="00DD764B">
        <w:t>administrativ</w:t>
      </w:r>
      <w:r w:rsidR="00CA12D0">
        <w:t xml:space="preserve"> karakter</w:t>
      </w:r>
      <w:r w:rsidR="00DD764B">
        <w:t xml:space="preserve">. </w:t>
      </w:r>
      <w:r w:rsidR="0087011A">
        <w:t>Aktørernes delegerede</w:t>
      </w:r>
      <w:r w:rsidR="00DD764B">
        <w:t xml:space="preserve"> kompetencer </w:t>
      </w:r>
      <w:r w:rsidR="00256897">
        <w:t xml:space="preserve">kan </w:t>
      </w:r>
      <w:r w:rsidR="00DD764B">
        <w:t>minde om kompetencer, der</w:t>
      </w:r>
      <w:r w:rsidR="0087011A">
        <w:t xml:space="preserve"> </w:t>
      </w:r>
      <w:r w:rsidR="00776F1A">
        <w:t>normalt</w:t>
      </w:r>
      <w:r w:rsidR="00C43D16">
        <w:t xml:space="preserve"> </w:t>
      </w:r>
      <w:r w:rsidR="00776F1A">
        <w:t>ligger hos</w:t>
      </w:r>
      <w:r w:rsidR="00DD764B">
        <w:t xml:space="preserve"> direktioner </w:t>
      </w:r>
      <w:r w:rsidR="00256897">
        <w:t>eller</w:t>
      </w:r>
      <w:r w:rsidR="00DD764B">
        <w:t xml:space="preserve"> bestyrelser i traditionelle virksomhed</w:t>
      </w:r>
      <w:r w:rsidR="0087011A">
        <w:t>sformer</w:t>
      </w:r>
      <w:r w:rsidR="00DD764B">
        <w:t xml:space="preserve">. </w:t>
      </w:r>
      <w:r w:rsidR="00725FCB">
        <w:t>På den måde kan aktører</w:t>
      </w:r>
      <w:r w:rsidR="00B32EE1">
        <w:t>ne</w:t>
      </w:r>
      <w:r w:rsidR="00725FCB">
        <w:t xml:space="preserve"> også opnå beslutningskompetencer, der gør det muligt for dem at råde over de regulerede elementer af </w:t>
      </w:r>
      <w:proofErr w:type="spellStart"/>
      <w:r w:rsidR="00725FCB">
        <w:t>DAO’ens</w:t>
      </w:r>
      <w:proofErr w:type="spellEnd"/>
      <w:r w:rsidR="00725FCB">
        <w:t xml:space="preserve"> aktiviteter, uden at andre deltagere i </w:t>
      </w:r>
      <w:proofErr w:type="spellStart"/>
      <w:r w:rsidR="00725FCB">
        <w:t>DAO’en</w:t>
      </w:r>
      <w:proofErr w:type="spellEnd"/>
      <w:r w:rsidR="00725FCB">
        <w:t xml:space="preserve"> har indflydelse.</w:t>
      </w:r>
    </w:p>
    <w:p w14:paraId="1F15AB0B" w14:textId="77777777" w:rsidR="00725FCB" w:rsidRDefault="00725FCB" w:rsidP="00DD764B"/>
    <w:p w14:paraId="5BC139C4" w14:textId="783F853C" w:rsidR="00DD764B" w:rsidRDefault="00725FCB" w:rsidP="00A01251">
      <w:r>
        <w:t>Der</w:t>
      </w:r>
      <w:r w:rsidR="00DD764B">
        <w:t xml:space="preserve"> kan </w:t>
      </w:r>
      <w:r>
        <w:t xml:space="preserve">altså </w:t>
      </w:r>
      <w:r w:rsidR="0020345A">
        <w:t>opstå tilfælde</w:t>
      </w:r>
      <w:r w:rsidR="00B32EE1">
        <w:t>,</w:t>
      </w:r>
      <w:r w:rsidR="0020345A">
        <w:t xml:space="preserve"> hvor </w:t>
      </w:r>
      <w:r>
        <w:t>sådanne organer</w:t>
      </w:r>
      <w:r w:rsidR="00B348EB">
        <w:t>,</w:t>
      </w:r>
      <w:r w:rsidR="0087011A">
        <w:t xml:space="preserve"> </w:t>
      </w:r>
      <w:r w:rsidR="00DD764B">
        <w:t>alt afhængig af de</w:t>
      </w:r>
      <w:r w:rsidR="00776F1A">
        <w:t>res</w:t>
      </w:r>
      <w:r w:rsidR="00DD764B">
        <w:t xml:space="preserve"> konkrete ledelsesmæssige beføjelser</w:t>
      </w:r>
      <w:r w:rsidR="00C43D16">
        <w:t xml:space="preserve">, </w:t>
      </w:r>
      <w:r w:rsidR="00242C59">
        <w:t>råde</w:t>
      </w:r>
      <w:r w:rsidR="0020345A">
        <w:t>r</w:t>
      </w:r>
      <w:r w:rsidR="00C43D16">
        <w:t xml:space="preserve"> over den regulerede aktivitet </w:t>
      </w:r>
      <w:r w:rsidR="00CA12D0">
        <w:t xml:space="preserve">– </w:t>
      </w:r>
      <w:r w:rsidR="00C43D16">
        <w:t xml:space="preserve">og </w:t>
      </w:r>
      <w:r w:rsidR="00776F1A">
        <w:t>dermed</w:t>
      </w:r>
      <w:r w:rsidR="00C43D16">
        <w:t xml:space="preserve"> </w:t>
      </w:r>
      <w:r w:rsidR="0020345A">
        <w:t xml:space="preserve">skal </w:t>
      </w:r>
      <w:r w:rsidR="00776F1A">
        <w:t>pål</w:t>
      </w:r>
      <w:r w:rsidR="0020345A">
        <w:t xml:space="preserve">ægges </w:t>
      </w:r>
      <w:r w:rsidR="00DD764B">
        <w:t xml:space="preserve">de gældende forpligtigelser i </w:t>
      </w:r>
      <w:proofErr w:type="spellStart"/>
      <w:r w:rsidR="00DD764B">
        <w:t>MiCA</w:t>
      </w:r>
      <w:proofErr w:type="spellEnd"/>
      <w:r w:rsidR="00DD764B">
        <w:t xml:space="preserve">. </w:t>
      </w:r>
      <w:r w:rsidR="007B0328">
        <w:t>I eksemplet i afsnit 4.2 kunne det være i tilfælde, hvor organet har fuld råderet over</w:t>
      </w:r>
      <w:r w:rsidR="00B32EE1">
        <w:t>,</w:t>
      </w:r>
      <w:r w:rsidR="007B0328">
        <w:t xml:space="preserve"> hvilke </w:t>
      </w:r>
      <w:proofErr w:type="spellStart"/>
      <w:r w:rsidR="007B0328">
        <w:t>AMM’er</w:t>
      </w:r>
      <w:proofErr w:type="spellEnd"/>
      <w:r w:rsidR="007B0328">
        <w:t xml:space="preserve"> der kan stille likviditet på </w:t>
      </w:r>
      <w:proofErr w:type="spellStart"/>
      <w:r w:rsidR="007B0328">
        <w:t>DEX’en</w:t>
      </w:r>
      <w:proofErr w:type="spellEnd"/>
      <w:r w:rsidR="007B0328">
        <w:t xml:space="preserve">. </w:t>
      </w:r>
    </w:p>
    <w:p w14:paraId="1ED1FAA2" w14:textId="77777777" w:rsidR="00DD764B" w:rsidRDefault="00DD764B" w:rsidP="00DD764B"/>
    <w:p w14:paraId="1D29E343" w14:textId="35C6714E" w:rsidR="00690A65" w:rsidRDefault="00DD764B" w:rsidP="004821D5">
      <w:r>
        <w:t>Finanstilsynets vurdering af</w:t>
      </w:r>
      <w:r w:rsidR="00B348EB">
        <w:t>,</w:t>
      </w:r>
      <w:r>
        <w:t xml:space="preserve"> om </w:t>
      </w:r>
      <w:r w:rsidR="00CA12D0">
        <w:t xml:space="preserve">en </w:t>
      </w:r>
      <w:r>
        <w:t>DAO er decentral</w:t>
      </w:r>
      <w:r w:rsidR="00B32EE1">
        <w:t>t</w:t>
      </w:r>
      <w:r>
        <w:t xml:space="preserve"> </w:t>
      </w:r>
      <w:r w:rsidR="0019174F">
        <w:t>ledet, inddrager</w:t>
      </w:r>
      <w:r>
        <w:t xml:space="preserve"> </w:t>
      </w:r>
      <w:r w:rsidR="00725FCB">
        <w:t>derfor</w:t>
      </w:r>
      <w:r w:rsidR="004821D5">
        <w:t xml:space="preserve"> </w:t>
      </w:r>
      <w:r w:rsidR="0019174F">
        <w:t xml:space="preserve">også </w:t>
      </w:r>
      <w:r w:rsidR="00CA12D0">
        <w:t xml:space="preserve">beføjelserne for </w:t>
      </w:r>
      <w:r w:rsidR="00725FCB">
        <w:t xml:space="preserve">eventuelle </w:t>
      </w:r>
      <w:r>
        <w:t xml:space="preserve">beslutningsudøvende organer. </w:t>
      </w:r>
      <w:r w:rsidR="0019174F">
        <w:t>D</w:t>
      </w:r>
      <w:r w:rsidR="004821D5">
        <w:t xml:space="preserve">et </w:t>
      </w:r>
      <w:r w:rsidR="0019174F">
        <w:t xml:space="preserve">er </w:t>
      </w:r>
      <w:r w:rsidR="00B32EE1">
        <w:t xml:space="preserve">især </w:t>
      </w:r>
      <w:r w:rsidR="00AC6362">
        <w:t xml:space="preserve">vigtigt, </w:t>
      </w:r>
      <w:r>
        <w:t>om de</w:t>
      </w:r>
      <w:r w:rsidR="00AC6362">
        <w:t>t er muligt at</w:t>
      </w:r>
      <w:r>
        <w:t xml:space="preserve"> identificere</w:t>
      </w:r>
      <w:r w:rsidR="00AC6362">
        <w:t xml:space="preserve"> </w:t>
      </w:r>
      <w:r>
        <w:t>personer</w:t>
      </w:r>
      <w:r w:rsidR="00AC6362">
        <w:t xml:space="preserve"> med </w:t>
      </w:r>
      <w:r>
        <w:t xml:space="preserve">ledelsesmæssige beføjelser til at </w:t>
      </w:r>
      <w:r w:rsidR="00242C59">
        <w:t>råde</w:t>
      </w:r>
      <w:r>
        <w:t xml:space="preserve"> over den regulerede aktivitet</w:t>
      </w:r>
      <w:r w:rsidR="00CA12D0">
        <w:t>,</w:t>
      </w:r>
      <w:r w:rsidR="00AC6362">
        <w:t xml:space="preserve"> uanset</w:t>
      </w:r>
      <w:r w:rsidR="0087011A">
        <w:t xml:space="preserve"> om disse personer har del i det kollektive samvirke</w:t>
      </w:r>
      <w:r>
        <w:t>.</w:t>
      </w:r>
      <w:r w:rsidR="00725FCB">
        <w:t xml:space="preserve"> Vurderingen vil desuden differentiere mellem tilfælde, hvor beslutningskompetencen relaterer sig til udbuddet af den regulerede aktivitet</w:t>
      </w:r>
      <w:r w:rsidR="00B32EE1">
        <w:t>,</w:t>
      </w:r>
      <w:r w:rsidR="00725FCB">
        <w:t xml:space="preserve"> og tilfælde</w:t>
      </w:r>
      <w:r w:rsidR="00B32EE1">
        <w:t>,</w:t>
      </w:r>
      <w:r w:rsidR="00725FCB">
        <w:t xml:space="preserve"> hvor beslutningskompetencen er begrænset til forhold af sekundær karakter til den regulerede aktivitet</w:t>
      </w:r>
      <w:r w:rsidR="00875441">
        <w:t>, som f.eks. beslutninger</w:t>
      </w:r>
      <w:r w:rsidR="00EE6313">
        <w:t xml:space="preserve"> om</w:t>
      </w:r>
      <w:r w:rsidR="00875441">
        <w:t xml:space="preserve"> design af logo</w:t>
      </w:r>
      <w:r w:rsidR="00725FCB">
        <w:t>.</w:t>
      </w:r>
    </w:p>
    <w:p w14:paraId="06B13128" w14:textId="77777777" w:rsidR="00690A65" w:rsidRDefault="00690A65" w:rsidP="004821D5"/>
    <w:p w14:paraId="11803F2C" w14:textId="589D66B7" w:rsidR="003F4352" w:rsidRDefault="003F4352" w:rsidP="001B7B3E">
      <w:pPr>
        <w:pStyle w:val="Overskrift1"/>
      </w:pPr>
      <w:bookmarkStart w:id="16" w:name="_Toc170130146"/>
      <w:r>
        <w:lastRenderedPageBreak/>
        <w:t>6</w:t>
      </w:r>
      <w:r w:rsidRPr="00EA4852">
        <w:t>.</w:t>
      </w:r>
      <w:r>
        <w:t xml:space="preserve"> </w:t>
      </w:r>
      <w:r w:rsidR="001B7B3E">
        <w:t xml:space="preserve">Videre </w:t>
      </w:r>
      <w:r>
        <w:t>anvendelse og udvikling af principper</w:t>
      </w:r>
      <w:r w:rsidR="00A00E75">
        <w:t>ne</w:t>
      </w:r>
      <w:bookmarkEnd w:id="16"/>
    </w:p>
    <w:p w14:paraId="24A350B7" w14:textId="327F650F" w:rsidR="008D0755" w:rsidRDefault="009B2753">
      <w:r>
        <w:t xml:space="preserve">Finanstilsynets formål med denne orientering er som nævnt at vejlede relevante aktører på markederne for </w:t>
      </w:r>
      <w:proofErr w:type="spellStart"/>
      <w:r>
        <w:t>kryptoaktiver</w:t>
      </w:r>
      <w:proofErr w:type="spellEnd"/>
      <w:r>
        <w:t xml:space="preserve"> om de anvendte principper for vurderingen af </w:t>
      </w:r>
      <w:proofErr w:type="spellStart"/>
      <w:r>
        <w:t>decentralitet</w:t>
      </w:r>
      <w:proofErr w:type="spellEnd"/>
      <w:r>
        <w:t>.</w:t>
      </w:r>
      <w:r w:rsidR="00715CBC">
        <w:t xml:space="preserve"> Principperne </w:t>
      </w:r>
      <w:r w:rsidR="00A00E75">
        <w:t xml:space="preserve">og de opstillede forhold er ikke udtømmende og </w:t>
      </w:r>
      <w:r w:rsidR="00715CBC">
        <w:t xml:space="preserve">bør anvendes som et udgangspunkt </w:t>
      </w:r>
      <w:r>
        <w:t>for vurderingen</w:t>
      </w:r>
      <w:r w:rsidR="00A00E75">
        <w:t xml:space="preserve">. </w:t>
      </w:r>
      <w:r w:rsidR="00715CBC">
        <w:t xml:space="preserve">Finanstilsynets endelige stillingtagen vil </w:t>
      </w:r>
      <w:r w:rsidR="00A00E75">
        <w:t xml:space="preserve">derfor </w:t>
      </w:r>
      <w:r w:rsidR="008D0755">
        <w:t xml:space="preserve">i alle tilfælde </w:t>
      </w:r>
      <w:r w:rsidR="00575EAE">
        <w:t xml:space="preserve">være baseret på en konkret vurdering af den pågældende forretningsmodel. </w:t>
      </w:r>
    </w:p>
    <w:p w14:paraId="379FBF2B" w14:textId="77777777" w:rsidR="008D0755" w:rsidRDefault="008D0755"/>
    <w:p w14:paraId="5B6B3543" w14:textId="1177F097" w:rsidR="008D0755" w:rsidRDefault="00715CBC">
      <w:r>
        <w:t>Aktører</w:t>
      </w:r>
      <w:r w:rsidR="001907DE">
        <w:t>,</w:t>
      </w:r>
      <w:r>
        <w:t xml:space="preserve"> for hvem det er relevant, om et udbud</w:t>
      </w:r>
      <w:r w:rsidR="0039093E">
        <w:t xml:space="preserve"> aktiviteter reguleret i </w:t>
      </w:r>
      <w:proofErr w:type="spellStart"/>
      <w:r w:rsidR="0039093E">
        <w:t>MiCA</w:t>
      </w:r>
      <w:proofErr w:type="spellEnd"/>
      <w:r>
        <w:t xml:space="preserve"> kan betragtes som decentralt, bærer i sidste ende selv ansvaret for</w:t>
      </w:r>
      <w:r w:rsidR="008D0755">
        <w:t xml:space="preserve"> at forholde sig til, om udbud</w:t>
      </w:r>
      <w:r w:rsidR="00575EAE">
        <w:t>det</w:t>
      </w:r>
      <w:r w:rsidR="008D0755">
        <w:t xml:space="preserve"> er omfattet af </w:t>
      </w:r>
      <w:proofErr w:type="spellStart"/>
      <w:r w:rsidR="008D0755">
        <w:t>MiCA</w:t>
      </w:r>
      <w:proofErr w:type="spellEnd"/>
      <w:r w:rsidR="008D0755">
        <w:t xml:space="preserve">. Finanstilsynet skal i den forbindelse gøre opmærksom på, at en forkerte klassificering af et udbud som fuldstændig decentralt </w:t>
      </w:r>
      <w:r w:rsidR="00A00E75">
        <w:t xml:space="preserve">og dermed undtaget af </w:t>
      </w:r>
      <w:proofErr w:type="spellStart"/>
      <w:r w:rsidR="00A00E75">
        <w:t>MiCA</w:t>
      </w:r>
      <w:proofErr w:type="spellEnd"/>
      <w:r w:rsidR="00A00E75">
        <w:t xml:space="preserve"> </w:t>
      </w:r>
      <w:r w:rsidR="008D0755">
        <w:t>kan medføre, at der i praksis udføres ulovlig virksomhed. I den forbindelse skal det understreges, at Finanstilsynet gerne indgår i dialog med relevante aktører omkring vurderingen og fortolkningen af principperne for det pågældende udbud.</w:t>
      </w:r>
      <w:r w:rsidR="00A00E75">
        <w:t xml:space="preserve"> </w:t>
      </w:r>
      <w:r w:rsidR="00575EAE">
        <w:t>R</w:t>
      </w:r>
      <w:r w:rsidR="00A00E75">
        <w:t xml:space="preserve">elevante aktører </w:t>
      </w:r>
      <w:r w:rsidR="00575EAE">
        <w:t xml:space="preserve">bør </w:t>
      </w:r>
      <w:r w:rsidR="0039093E">
        <w:t xml:space="preserve">både </w:t>
      </w:r>
      <w:r w:rsidR="00A00E75">
        <w:t xml:space="preserve">være opmærksomme på, at fuldstændig </w:t>
      </w:r>
      <w:proofErr w:type="spellStart"/>
      <w:r w:rsidR="00A00E75">
        <w:t>decentral</w:t>
      </w:r>
      <w:r w:rsidR="0039093E">
        <w:t>ite</w:t>
      </w:r>
      <w:r w:rsidR="00A00E75">
        <w:t>t</w:t>
      </w:r>
      <w:proofErr w:type="spellEnd"/>
      <w:r w:rsidR="00A00E75">
        <w:t xml:space="preserve"> forudsætter, at en lang række forhold er opfyldt</w:t>
      </w:r>
      <w:r w:rsidR="0039093E">
        <w:t xml:space="preserve">, </w:t>
      </w:r>
      <w:r w:rsidR="00A00E75">
        <w:t xml:space="preserve">og at brugergrænseflader </w:t>
      </w:r>
      <w:r w:rsidR="0039093E">
        <w:t xml:space="preserve">til decentrale tjenester </w:t>
      </w:r>
      <w:r w:rsidR="00A00E75">
        <w:t xml:space="preserve">kan være omfattet af </w:t>
      </w:r>
      <w:proofErr w:type="spellStart"/>
      <w:r w:rsidR="00A00E75">
        <w:t>MiCA</w:t>
      </w:r>
      <w:proofErr w:type="spellEnd"/>
      <w:r w:rsidR="0039093E">
        <w:t>.</w:t>
      </w:r>
      <w:r w:rsidR="00A00E75">
        <w:t xml:space="preserve"> </w:t>
      </w:r>
    </w:p>
    <w:p w14:paraId="6E364108" w14:textId="77777777" w:rsidR="008D0755" w:rsidRDefault="008D0755"/>
    <w:p w14:paraId="35F4FC7E" w14:textId="7EDAFAEC" w:rsidR="007C7A85" w:rsidRDefault="008D0755" w:rsidP="004821D5">
      <w:r>
        <w:t xml:space="preserve">Principperne er udviklet på baggrund af arbejdet i Finanstilsynets arbejdsgruppe for decentral finans og </w:t>
      </w:r>
      <w:r w:rsidR="00690193">
        <w:t xml:space="preserve">den </w:t>
      </w:r>
      <w:r>
        <w:t>løbende</w:t>
      </w:r>
      <w:r w:rsidR="00690193">
        <w:t xml:space="preserve"> tilsynsvirksomhed</w:t>
      </w:r>
      <w:r>
        <w:t xml:space="preserve">. </w:t>
      </w:r>
      <w:r w:rsidR="0039093E">
        <w:t>Nye innovative løsninger på m</w:t>
      </w:r>
      <w:r>
        <w:t xml:space="preserve">arkederne for </w:t>
      </w:r>
      <w:proofErr w:type="spellStart"/>
      <w:r>
        <w:t>kryptoaktiver</w:t>
      </w:r>
      <w:proofErr w:type="spellEnd"/>
      <w:r>
        <w:t xml:space="preserve"> og indenfor decentral finans</w:t>
      </w:r>
      <w:r w:rsidR="0039093E">
        <w:t xml:space="preserve"> udvikles dog løbende</w:t>
      </w:r>
      <w:r>
        <w:t xml:space="preserve">, og Finanstilsynet er derfor </w:t>
      </w:r>
      <w:r w:rsidR="00A00E75">
        <w:t xml:space="preserve">også </w:t>
      </w:r>
      <w:r>
        <w:t>opmærksomme på, at der kan opstå forhold, der nødvendiggør en tilpasning eller opdatering af principperne. Dette vil Finanstilsynet forholde sig til i den løbende tilsynsvirksomhed.</w:t>
      </w:r>
      <w:r w:rsidR="00690193">
        <w:t xml:space="preserve"> Det er bl.a. en målsætning, at principperne løbende udvikles i takt med</w:t>
      </w:r>
      <w:r w:rsidR="001907DE">
        <w:t>,</w:t>
      </w:r>
      <w:r w:rsidR="00690193">
        <w:t xml:space="preserve"> at der arbejdes mod en harmonisering af tilgangen til vurdering</w:t>
      </w:r>
      <w:r w:rsidR="001907DE">
        <w:t xml:space="preserve"> af </w:t>
      </w:r>
      <w:proofErr w:type="spellStart"/>
      <w:r w:rsidR="001907DE">
        <w:t>decentralitet</w:t>
      </w:r>
      <w:proofErr w:type="spellEnd"/>
      <w:r w:rsidR="00690193">
        <w:t xml:space="preserve"> i Europa. </w:t>
      </w:r>
      <w:r w:rsidR="00A00E75">
        <w:t xml:space="preserve">Finanstilsynet </w:t>
      </w:r>
      <w:r w:rsidR="00690193">
        <w:t xml:space="preserve">er </w:t>
      </w:r>
      <w:r w:rsidR="00A00E75">
        <w:t>også lydhør overfor input</w:t>
      </w:r>
      <w:r w:rsidR="00690193">
        <w:t xml:space="preserve"> fra private aktører</w:t>
      </w:r>
      <w:r w:rsidR="00A00E75">
        <w:t xml:space="preserve">, der </w:t>
      </w:r>
      <w:r w:rsidR="00575EAE">
        <w:t>ønsker at bidrage til</w:t>
      </w:r>
      <w:r w:rsidR="00A00E75">
        <w:t xml:space="preserve"> </w:t>
      </w:r>
      <w:r w:rsidR="00575EAE">
        <w:t xml:space="preserve">Finanstilsynets </w:t>
      </w:r>
      <w:r w:rsidR="00A00E75">
        <w:t>tilgang</w:t>
      </w:r>
      <w:r w:rsidR="00575EAE">
        <w:t xml:space="preserve"> </w:t>
      </w:r>
      <w:r w:rsidR="00A00E75">
        <w:t xml:space="preserve">til vurderingen af </w:t>
      </w:r>
      <w:proofErr w:type="spellStart"/>
      <w:r w:rsidR="00A00E75">
        <w:t>decentralitet</w:t>
      </w:r>
      <w:proofErr w:type="spellEnd"/>
      <w:r w:rsidR="00A00E75">
        <w:t xml:space="preserve">. </w:t>
      </w:r>
    </w:p>
    <w:p w14:paraId="6899FD50" w14:textId="77777777" w:rsidR="007C7A85" w:rsidRDefault="007C7A85" w:rsidP="004821D5"/>
    <w:p w14:paraId="38254185" w14:textId="77777777" w:rsidR="007C7A85" w:rsidRDefault="007C7A85" w:rsidP="004821D5"/>
    <w:p w14:paraId="163B4DBB" w14:textId="77777777" w:rsidR="00E30FCF" w:rsidRDefault="00E30FCF" w:rsidP="004821D5"/>
    <w:p w14:paraId="35362743" w14:textId="77777777" w:rsidR="00E30FCF" w:rsidRDefault="00E30FCF" w:rsidP="004821D5"/>
    <w:p w14:paraId="34F09959" w14:textId="77777777" w:rsidR="00E30FCF" w:rsidRDefault="00E30FCF" w:rsidP="004821D5"/>
    <w:p w14:paraId="2DB11062" w14:textId="77777777" w:rsidR="00E30FCF" w:rsidRDefault="00E30FCF" w:rsidP="004821D5"/>
    <w:p w14:paraId="67D48D9E" w14:textId="77777777" w:rsidR="007C7A85" w:rsidRDefault="007C7A85" w:rsidP="004821D5"/>
    <w:p w14:paraId="0A1B61EB" w14:textId="77777777" w:rsidR="007C7A85" w:rsidRDefault="007C7A85" w:rsidP="004821D5"/>
    <w:p w14:paraId="58BFFC9E" w14:textId="77777777" w:rsidR="00514F43" w:rsidRDefault="00514F43" w:rsidP="004821D5"/>
    <w:p w14:paraId="3E092AD1" w14:textId="77777777" w:rsidR="00EC2B5A" w:rsidRDefault="00EC2B5A" w:rsidP="004821D5"/>
    <w:p w14:paraId="57CBC9E0" w14:textId="77777777" w:rsidR="00EC2B5A" w:rsidRDefault="00EC2B5A" w:rsidP="004821D5"/>
    <w:p w14:paraId="120E9D49" w14:textId="4D40C5C6" w:rsidR="00E76463" w:rsidRDefault="00E76463" w:rsidP="00E76463">
      <w:pPr>
        <w:pStyle w:val="Overskrift1"/>
      </w:pPr>
      <w:bookmarkStart w:id="17" w:name="_Toc170130147"/>
      <w:r>
        <w:t>Bilag</w:t>
      </w:r>
      <w:bookmarkEnd w:id="17"/>
    </w:p>
    <w:p w14:paraId="5A20331E" w14:textId="77777777" w:rsidR="00E76463" w:rsidRDefault="00E76463" w:rsidP="00E76463"/>
    <w:p w14:paraId="11317906" w14:textId="55B6C042" w:rsidR="002847C2" w:rsidRDefault="00E76463" w:rsidP="002847C2">
      <w:pPr>
        <w:pStyle w:val="Overskrift2"/>
      </w:pPr>
      <w:bookmarkStart w:id="18" w:name="_Toc170130148"/>
      <w:r>
        <w:t>Bilag 1</w:t>
      </w:r>
      <w:r w:rsidR="00664F8A">
        <w:t xml:space="preserve"> – </w:t>
      </w:r>
      <w:r w:rsidR="000F284E">
        <w:t>De tre lag i d</w:t>
      </w:r>
      <w:r w:rsidR="00664F8A">
        <w:t>e</w:t>
      </w:r>
      <w:r w:rsidR="005542AE">
        <w:t>n konventionelle blockchain</w:t>
      </w:r>
      <w:bookmarkEnd w:id="18"/>
    </w:p>
    <w:p w14:paraId="35D15A91" w14:textId="757CB83A" w:rsidR="004D2F6D" w:rsidRPr="00354115" w:rsidRDefault="00B20139" w:rsidP="00532797">
      <w:r>
        <w:t xml:space="preserve">Med konventionelle blockchains </w:t>
      </w:r>
      <w:r w:rsidR="00201783">
        <w:t>menes</w:t>
      </w:r>
      <w:r>
        <w:t xml:space="preserve"> DLT-</w:t>
      </w:r>
      <w:r w:rsidR="002B387D">
        <w:t>systemer</w:t>
      </w:r>
      <w:r>
        <w:t xml:space="preserve">, der er struktureret på </w:t>
      </w:r>
      <w:r w:rsidR="000F284E">
        <w:t xml:space="preserve">samme måde </w:t>
      </w:r>
      <w:r>
        <w:t xml:space="preserve">som </w:t>
      </w:r>
      <w:proofErr w:type="spellStart"/>
      <w:r>
        <w:t>Ethereums</w:t>
      </w:r>
      <w:proofErr w:type="spellEnd"/>
      <w:r>
        <w:t xml:space="preserve"> blockchain. Det indebærer</w:t>
      </w:r>
      <w:r w:rsidR="004D2F6D">
        <w:t>,</w:t>
      </w:r>
      <w:r>
        <w:t xml:space="preserve"> at </w:t>
      </w:r>
      <w:r w:rsidR="002B387D">
        <w:t>systemet</w:t>
      </w:r>
      <w:r>
        <w:t xml:space="preserve"> indeholder et applikationslag, der muliggør brugen af smartkontrakter. Der skal desuden være fri adgang til at deltage som </w:t>
      </w:r>
      <w:proofErr w:type="spellStart"/>
      <w:r>
        <w:t>netknudepunkt</w:t>
      </w:r>
      <w:proofErr w:type="spellEnd"/>
      <w:r>
        <w:t xml:space="preserve"> i driften af den fulde distribuerede hovedbog</w:t>
      </w:r>
      <w:r w:rsidR="000F284E">
        <w:t>,</w:t>
      </w:r>
      <w:r w:rsidR="00B45C0D">
        <w:t xml:space="preserve"> og </w:t>
      </w:r>
      <w:r>
        <w:t xml:space="preserve">enhver bruger skal have mulighed for at tilgå og gøre brug af blockchainens funktionalitet. </w:t>
      </w:r>
      <w:r w:rsidR="000F284E">
        <w:t>Som det fremgår af</w:t>
      </w:r>
      <w:r w:rsidR="00201783">
        <w:t xml:space="preserve"> figur </w:t>
      </w:r>
      <w:r w:rsidR="00201783">
        <w:lastRenderedPageBreak/>
        <w:t>B1</w:t>
      </w:r>
      <w:r w:rsidR="000F284E">
        <w:t>,</w:t>
      </w:r>
      <w:r w:rsidR="00201783">
        <w:t xml:space="preserve"> kan e</w:t>
      </w:r>
      <w:r>
        <w:t xml:space="preserve">n konventionel blockchain derfor også karakteriseres som </w:t>
      </w:r>
      <w:proofErr w:type="spellStart"/>
      <w:r w:rsidRPr="00645438">
        <w:t>permissionless</w:t>
      </w:r>
      <w:proofErr w:type="spellEnd"/>
      <w:r w:rsidRPr="00645438">
        <w:t xml:space="preserve">, public </w:t>
      </w:r>
      <w:r w:rsidRPr="00354115">
        <w:t>og</w:t>
      </w:r>
      <w:r w:rsidRPr="00645438">
        <w:t xml:space="preserve"> non-</w:t>
      </w:r>
      <w:proofErr w:type="spellStart"/>
      <w:r w:rsidRPr="00645438">
        <w:t>hi</w:t>
      </w:r>
      <w:r w:rsidR="004D2F6D" w:rsidRPr="00645438">
        <w:t>e</w:t>
      </w:r>
      <w:r w:rsidRPr="00645438">
        <w:t>rarchical</w:t>
      </w:r>
      <w:proofErr w:type="spellEnd"/>
      <w:r w:rsidR="004D2F6D" w:rsidRPr="00354115">
        <w:t xml:space="preserve">. </w:t>
      </w:r>
    </w:p>
    <w:p w14:paraId="0DC51B49" w14:textId="77777777" w:rsidR="004D2F6D" w:rsidRDefault="004D2F6D" w:rsidP="00532797"/>
    <w:p w14:paraId="3F818B00" w14:textId="602F1704" w:rsidR="006C7A4E" w:rsidRPr="004D2F6D" w:rsidRDefault="004D2F6D" w:rsidP="00532797">
      <w:pPr>
        <w:rPr>
          <w:b/>
          <w:bCs/>
        </w:rPr>
      </w:pPr>
      <w:r w:rsidRPr="004D2F6D">
        <w:rPr>
          <w:b/>
          <w:bCs/>
        </w:rPr>
        <w:t>Figur B1 – Elementer af en distribueret hovedbog</w:t>
      </w:r>
      <w:r w:rsidR="006C7A4E" w:rsidRPr="004D2F6D">
        <w:rPr>
          <w:b/>
          <w:bCs/>
        </w:rPr>
        <w:t xml:space="preserve"> </w:t>
      </w:r>
    </w:p>
    <w:p w14:paraId="63C89360" w14:textId="6FF3BE08" w:rsidR="004D2F6D" w:rsidRDefault="004D2F6D" w:rsidP="00532797">
      <w:r w:rsidRPr="004D2F6D">
        <w:rPr>
          <w:noProof/>
        </w:rPr>
        <w:drawing>
          <wp:anchor distT="0" distB="0" distL="114300" distR="114300" simplePos="0" relativeHeight="251648000" behindDoc="1" locked="0" layoutInCell="1" allowOverlap="1" wp14:anchorId="4AA14B4C" wp14:editId="173BDA0C">
            <wp:simplePos x="0" y="0"/>
            <wp:positionH relativeFrom="margin">
              <wp:posOffset>9525</wp:posOffset>
            </wp:positionH>
            <wp:positionV relativeFrom="paragraph">
              <wp:posOffset>12065</wp:posOffset>
            </wp:positionV>
            <wp:extent cx="5400040" cy="1427480"/>
            <wp:effectExtent l="0" t="0" r="0" b="1270"/>
            <wp:wrapNone/>
            <wp:docPr id="30063016" name="Billede 1" descr="Et billede, der indeholder tekst, skærmbillede, Font/skrifttype, kvitter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3016" name="Billede 1" descr="Et billede, der indeholder tekst, skærmbillede, Font/skrifttype, kvittering&#10;&#10;Automatisk genereret beskrivelse"/>
                    <pic:cNvPicPr/>
                  </pic:nvPicPr>
                  <pic:blipFill>
                    <a:blip r:embed="rId16">
                      <a:extLst>
                        <a:ext uri="{28A0092B-C50C-407E-A947-70E740481C1C}">
                          <a14:useLocalDpi xmlns:a14="http://schemas.microsoft.com/office/drawing/2010/main" val="0"/>
                        </a:ext>
                      </a:extLst>
                    </a:blip>
                    <a:stretch>
                      <a:fillRect/>
                    </a:stretch>
                  </pic:blipFill>
                  <pic:spPr>
                    <a:xfrm>
                      <a:off x="0" y="0"/>
                      <a:ext cx="5400040" cy="1427480"/>
                    </a:xfrm>
                    <a:prstGeom prst="rect">
                      <a:avLst/>
                    </a:prstGeom>
                  </pic:spPr>
                </pic:pic>
              </a:graphicData>
            </a:graphic>
            <wp14:sizeRelH relativeFrom="page">
              <wp14:pctWidth>0</wp14:pctWidth>
            </wp14:sizeRelH>
            <wp14:sizeRelV relativeFrom="page">
              <wp14:pctHeight>0</wp14:pctHeight>
            </wp14:sizeRelV>
          </wp:anchor>
        </w:drawing>
      </w:r>
    </w:p>
    <w:p w14:paraId="194511AA" w14:textId="41E45FE5" w:rsidR="004D2F6D" w:rsidRDefault="004D2F6D" w:rsidP="00532797"/>
    <w:p w14:paraId="26EADBA7" w14:textId="77777777" w:rsidR="004D2F6D" w:rsidRDefault="004D2F6D" w:rsidP="00532797"/>
    <w:p w14:paraId="095804D4" w14:textId="0437E909" w:rsidR="006C7A4E" w:rsidRDefault="006C7A4E" w:rsidP="00532797"/>
    <w:p w14:paraId="72D09DAD" w14:textId="34A649F8" w:rsidR="00B20139" w:rsidRPr="00B20139" w:rsidRDefault="00B20139" w:rsidP="00532797">
      <w:r>
        <w:t xml:space="preserve"> </w:t>
      </w:r>
    </w:p>
    <w:p w14:paraId="483D6D68" w14:textId="77777777" w:rsidR="00B20139" w:rsidRDefault="00B20139" w:rsidP="00532797"/>
    <w:p w14:paraId="6DDB40E5" w14:textId="77777777" w:rsidR="004D2F6D" w:rsidRDefault="004D2F6D" w:rsidP="00532797"/>
    <w:p w14:paraId="5E0000BC" w14:textId="77777777" w:rsidR="004D2F6D" w:rsidRDefault="004D2F6D" w:rsidP="00532797"/>
    <w:p w14:paraId="5ED19364" w14:textId="39BB607E" w:rsidR="004D2F6D" w:rsidRPr="00045029" w:rsidRDefault="004D2F6D" w:rsidP="00532797">
      <w:r w:rsidRPr="00045029">
        <w:rPr>
          <w:b/>
          <w:bCs/>
          <w:sz w:val="18"/>
          <w:szCs w:val="18"/>
        </w:rPr>
        <w:t>Kilde:</w:t>
      </w:r>
      <w:r w:rsidRPr="00045029">
        <w:rPr>
          <w:sz w:val="18"/>
          <w:szCs w:val="18"/>
        </w:rPr>
        <w:t xml:space="preserve"> Bank for International Settlements (BIS)</w:t>
      </w:r>
    </w:p>
    <w:p w14:paraId="7AF81816" w14:textId="77777777" w:rsidR="004D2F6D" w:rsidRPr="00045029" w:rsidRDefault="004D2F6D" w:rsidP="00532797"/>
    <w:p w14:paraId="1BF96334" w14:textId="550A4E5B" w:rsidR="000443AF" w:rsidRDefault="000443AF" w:rsidP="000443AF">
      <w:pPr>
        <w:pStyle w:val="Overskrift3"/>
      </w:pPr>
      <w:r>
        <w:t>B1.1</w:t>
      </w:r>
      <w:r w:rsidR="00EC5438">
        <w:t>.</w:t>
      </w:r>
      <w:r>
        <w:t xml:space="preserve"> Infrastrukturlaget</w:t>
      </w:r>
    </w:p>
    <w:p w14:paraId="48100C27" w14:textId="231BD516" w:rsidR="000443AF" w:rsidRDefault="000443AF" w:rsidP="000443AF">
      <w:proofErr w:type="spellStart"/>
      <w:r>
        <w:t>MiCA</w:t>
      </w:r>
      <w:proofErr w:type="spellEnd"/>
      <w:r>
        <w:t xml:space="preserve"> definere</w:t>
      </w:r>
      <w:r w:rsidR="008E75D7">
        <w:t>r</w:t>
      </w:r>
      <w:r>
        <w:t xml:space="preserve"> en DLT i artikel 3, stk. 1, nr. 1, som: </w:t>
      </w:r>
      <w:r w:rsidRPr="00075128">
        <w:rPr>
          <w:i/>
          <w:iCs/>
        </w:rPr>
        <w:t xml:space="preserve">”en teknologi, der muliggør drift og brug af </w:t>
      </w:r>
      <w:proofErr w:type="spellStart"/>
      <w:r w:rsidRPr="00075128">
        <w:rPr>
          <w:i/>
          <w:iCs/>
        </w:rPr>
        <w:t>distributed</w:t>
      </w:r>
      <w:proofErr w:type="spellEnd"/>
      <w:r w:rsidRPr="00075128">
        <w:rPr>
          <w:i/>
          <w:iCs/>
        </w:rPr>
        <w:t xml:space="preserve"> </w:t>
      </w:r>
      <w:proofErr w:type="spellStart"/>
      <w:r w:rsidRPr="00075128">
        <w:rPr>
          <w:i/>
          <w:iCs/>
        </w:rPr>
        <w:t>ledgers</w:t>
      </w:r>
      <w:proofErr w:type="spellEnd"/>
      <w:r>
        <w:rPr>
          <w:i/>
          <w:iCs/>
        </w:rPr>
        <w:t>”</w:t>
      </w:r>
      <w:r>
        <w:t xml:space="preserve">. </w:t>
      </w:r>
      <w:r w:rsidR="008E75D7">
        <w:t>Den brede d</w:t>
      </w:r>
      <w:r w:rsidR="009471C0">
        <w:t>efinition åbner for en vis variation i typen</w:t>
      </w:r>
      <w:r w:rsidR="007A53DC">
        <w:t xml:space="preserve"> af</w:t>
      </w:r>
      <w:r w:rsidR="009471C0">
        <w:t xml:space="preserve"> </w:t>
      </w:r>
      <w:r w:rsidR="007A53DC">
        <w:t>systemer</w:t>
      </w:r>
      <w:r w:rsidR="009471C0">
        <w:t xml:space="preserve">, der kan omfattes af forordningen. </w:t>
      </w:r>
      <w:r>
        <w:t xml:space="preserve">Artikel 3, stk. 1, nr. 2-4, fastsætter de nærmere kriterier for definitionen af en distribueret hovedbog: </w:t>
      </w:r>
    </w:p>
    <w:p w14:paraId="2AAF00AC" w14:textId="77777777" w:rsidR="000443AF" w:rsidRPr="00075128" w:rsidRDefault="000443AF" w:rsidP="000443AF">
      <w:pPr>
        <w:rPr>
          <w:i/>
          <w:iCs/>
        </w:rPr>
      </w:pPr>
    </w:p>
    <w:p w14:paraId="16B98B6C" w14:textId="24FEF044" w:rsidR="000443AF" w:rsidRPr="00EA4852" w:rsidRDefault="00354115" w:rsidP="000443AF">
      <w:pPr>
        <w:pStyle w:val="Listeafsnit"/>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7C1E3B">
        <w:rPr>
          <w:b/>
        </w:rPr>
        <w:t>D</w:t>
      </w:r>
      <w:r w:rsidR="000443AF" w:rsidRPr="007C1E3B">
        <w:rPr>
          <w:b/>
        </w:rPr>
        <w:t>istribueret hovedbog:</w:t>
      </w:r>
      <w:r w:rsidR="000443AF" w:rsidRPr="00354115">
        <w:rPr>
          <w:bCs/>
        </w:rPr>
        <w:t xml:space="preserve"> Et</w:t>
      </w:r>
      <w:r w:rsidR="000443AF" w:rsidRPr="00EA4852">
        <w:t xml:space="preserve"> informationsregister, der registrerer transaktioner, og som deles og synkroniseres mellem et sæt af DLT-</w:t>
      </w:r>
      <w:proofErr w:type="spellStart"/>
      <w:r w:rsidR="000443AF" w:rsidRPr="00EA4852">
        <w:t>netknudepunkter</w:t>
      </w:r>
      <w:proofErr w:type="spellEnd"/>
      <w:r w:rsidR="000443AF" w:rsidRPr="00EA4852">
        <w:t xml:space="preserve"> ved hjælp af en konsensusmekanisme.</w:t>
      </w:r>
    </w:p>
    <w:p w14:paraId="672665E7" w14:textId="77777777" w:rsidR="000443AF" w:rsidRPr="00EA4852" w:rsidRDefault="000443AF" w:rsidP="000443AF">
      <w:pPr>
        <w:pStyle w:val="Listeafsnit"/>
        <w:numPr>
          <w:ilvl w:val="0"/>
          <w:numId w:val="0"/>
        </w:numPr>
        <w:ind w:left="720"/>
      </w:pPr>
    </w:p>
    <w:p w14:paraId="47204D8C" w14:textId="0E219A4E" w:rsidR="000443AF" w:rsidRPr="00EA4852" w:rsidRDefault="00354115" w:rsidP="000443AF">
      <w:pPr>
        <w:pStyle w:val="Listeafsnit"/>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7C1E3B">
        <w:rPr>
          <w:b/>
        </w:rPr>
        <w:t>K</w:t>
      </w:r>
      <w:r w:rsidR="000443AF" w:rsidRPr="007C1E3B">
        <w:rPr>
          <w:b/>
        </w:rPr>
        <w:t>onsensusmekanisme:</w:t>
      </w:r>
      <w:r w:rsidR="000443AF" w:rsidRPr="00354115">
        <w:rPr>
          <w:bCs/>
        </w:rPr>
        <w:t xml:space="preserve"> Regler</w:t>
      </w:r>
      <w:r w:rsidR="000443AF" w:rsidRPr="00EA4852">
        <w:t xml:space="preserve"> og procedurer, hvorved DLT-</w:t>
      </w:r>
      <w:proofErr w:type="spellStart"/>
      <w:r w:rsidR="000443AF" w:rsidRPr="00EA4852">
        <w:t>netknudepunkter</w:t>
      </w:r>
      <w:proofErr w:type="spellEnd"/>
      <w:r w:rsidR="000443AF" w:rsidRPr="00EA4852">
        <w:t xml:space="preserve"> nå</w:t>
      </w:r>
      <w:r>
        <w:t>r</w:t>
      </w:r>
      <w:r w:rsidR="000443AF" w:rsidRPr="00EA4852">
        <w:t xml:space="preserve"> </w:t>
      </w:r>
      <w:r>
        <w:t xml:space="preserve">til </w:t>
      </w:r>
      <w:r w:rsidR="000443AF" w:rsidRPr="00EA4852">
        <w:t>enighed om, at en transaktion er valideret.</w:t>
      </w:r>
    </w:p>
    <w:p w14:paraId="3D4BCCA6" w14:textId="77777777" w:rsidR="000443AF" w:rsidRPr="00EA4852" w:rsidRDefault="000443AF" w:rsidP="000443AF">
      <w:pPr>
        <w:pStyle w:val="Listeafsnit"/>
        <w:numPr>
          <w:ilvl w:val="0"/>
          <w:numId w:val="0"/>
        </w:numPr>
        <w:ind w:left="720"/>
      </w:pPr>
    </w:p>
    <w:p w14:paraId="1FF6DF83" w14:textId="771EB10C" w:rsidR="000443AF" w:rsidRPr="00EA4852" w:rsidRDefault="000443AF" w:rsidP="000443AF">
      <w:pPr>
        <w:pStyle w:val="Listeafsnit"/>
        <w:numPr>
          <w:ilvl w:val="0"/>
          <w:numId w:val="1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7C1E3B">
        <w:rPr>
          <w:b/>
        </w:rPr>
        <w:t>DLT-</w:t>
      </w:r>
      <w:proofErr w:type="spellStart"/>
      <w:r w:rsidRPr="007C1E3B">
        <w:rPr>
          <w:b/>
        </w:rPr>
        <w:t>netknudepunkt</w:t>
      </w:r>
      <w:proofErr w:type="spellEnd"/>
      <w:r w:rsidRPr="007C1E3B">
        <w:rPr>
          <w:b/>
        </w:rPr>
        <w:t>:</w:t>
      </w:r>
      <w:r w:rsidRPr="00354115">
        <w:rPr>
          <w:bCs/>
        </w:rPr>
        <w:t xml:space="preserve"> En</w:t>
      </w:r>
      <w:r w:rsidRPr="00EA4852">
        <w:t xml:space="preserve"> anordning eller proces, der indgår i et netværk, og som indeholder en fuldstændig eller delvis kopi af registreringer af alle transaktioner i en distribueret hovedbog.</w:t>
      </w:r>
    </w:p>
    <w:p w14:paraId="5CE96AF2" w14:textId="77777777" w:rsidR="000443AF" w:rsidRDefault="000443AF" w:rsidP="000443AF"/>
    <w:p w14:paraId="28E27B3D" w14:textId="1C26F7F2" w:rsidR="00273EE7" w:rsidRDefault="00273EE7" w:rsidP="00273EE7">
      <w:pPr>
        <w:rPr>
          <w:iCs/>
        </w:rPr>
      </w:pPr>
      <w:r>
        <w:rPr>
          <w:iCs/>
        </w:rPr>
        <w:t>DLT-</w:t>
      </w:r>
      <w:r w:rsidR="007A53DC">
        <w:rPr>
          <w:iCs/>
        </w:rPr>
        <w:t>systemer</w:t>
      </w:r>
      <w:r>
        <w:rPr>
          <w:iCs/>
        </w:rPr>
        <w:t xml:space="preserve"> kan grundlæggende ses som de</w:t>
      </w:r>
      <w:r w:rsidR="00B82149">
        <w:rPr>
          <w:iCs/>
        </w:rPr>
        <w:t xml:space="preserve"> </w:t>
      </w:r>
      <w:r w:rsidR="007A53DC">
        <w:rPr>
          <w:iCs/>
        </w:rPr>
        <w:t>system</w:t>
      </w:r>
      <w:r w:rsidR="00B82149">
        <w:rPr>
          <w:iCs/>
        </w:rPr>
        <w:t>er</w:t>
      </w:r>
      <w:r>
        <w:rPr>
          <w:iCs/>
        </w:rPr>
        <w:t xml:space="preserve">, der kan </w:t>
      </w:r>
      <w:r w:rsidR="00B82149">
        <w:rPr>
          <w:iCs/>
        </w:rPr>
        <w:t>brug</w:t>
      </w:r>
      <w:r>
        <w:rPr>
          <w:iCs/>
        </w:rPr>
        <w:t>es i udbuddet af regulerede aktivitet</w:t>
      </w:r>
      <w:r w:rsidRPr="001D0740">
        <w:rPr>
          <w:iCs/>
        </w:rPr>
        <w:t xml:space="preserve">er under </w:t>
      </w:r>
      <w:proofErr w:type="spellStart"/>
      <w:r w:rsidRPr="001D0740">
        <w:rPr>
          <w:iCs/>
        </w:rPr>
        <w:t>MiCA</w:t>
      </w:r>
      <w:proofErr w:type="spellEnd"/>
      <w:r w:rsidRPr="001D0740">
        <w:rPr>
          <w:iCs/>
        </w:rPr>
        <w:t xml:space="preserve">. </w:t>
      </w:r>
      <w:r>
        <w:rPr>
          <w:iCs/>
        </w:rPr>
        <w:t xml:space="preserve">Det vil </w:t>
      </w:r>
      <w:r w:rsidR="00AC4125">
        <w:rPr>
          <w:iCs/>
        </w:rPr>
        <w:t xml:space="preserve">i dag </w:t>
      </w:r>
      <w:r>
        <w:rPr>
          <w:iCs/>
        </w:rPr>
        <w:t>ofte være konventionelle blockchains. DLT-</w:t>
      </w:r>
      <w:r w:rsidR="007A53DC">
        <w:rPr>
          <w:iCs/>
        </w:rPr>
        <w:t>systemer</w:t>
      </w:r>
      <w:r>
        <w:rPr>
          <w:iCs/>
        </w:rPr>
        <w:t xml:space="preserve"> kan dog </w:t>
      </w:r>
      <w:r w:rsidR="00B82149">
        <w:rPr>
          <w:iCs/>
        </w:rPr>
        <w:t>brug</w:t>
      </w:r>
      <w:r>
        <w:rPr>
          <w:iCs/>
        </w:rPr>
        <w:t xml:space="preserve">es bredere. </w:t>
      </w:r>
      <w:r w:rsidRPr="001D0740">
        <w:rPr>
          <w:iCs/>
        </w:rPr>
        <w:t xml:space="preserve">Figur </w:t>
      </w:r>
      <w:r>
        <w:rPr>
          <w:iCs/>
        </w:rPr>
        <w:t>B1.1</w:t>
      </w:r>
      <w:r w:rsidRPr="001D0740">
        <w:rPr>
          <w:iCs/>
        </w:rPr>
        <w:t xml:space="preserve"> illustrerer</w:t>
      </w:r>
      <w:r w:rsidR="00B82149">
        <w:rPr>
          <w:iCs/>
        </w:rPr>
        <w:t>,</w:t>
      </w:r>
      <w:r>
        <w:rPr>
          <w:iCs/>
        </w:rPr>
        <w:t xml:space="preserve"> </w:t>
      </w:r>
      <w:r w:rsidRPr="001D0740">
        <w:rPr>
          <w:iCs/>
        </w:rPr>
        <w:t>hvordan blockchainen</w:t>
      </w:r>
      <w:r>
        <w:rPr>
          <w:iCs/>
        </w:rPr>
        <w:t xml:space="preserve"> </w:t>
      </w:r>
      <w:r w:rsidR="00354115">
        <w:rPr>
          <w:iCs/>
        </w:rPr>
        <w:t xml:space="preserve">f.eks. </w:t>
      </w:r>
      <w:r>
        <w:rPr>
          <w:iCs/>
        </w:rPr>
        <w:t xml:space="preserve">kan </w:t>
      </w:r>
      <w:r w:rsidRPr="001D0740">
        <w:rPr>
          <w:iCs/>
        </w:rPr>
        <w:t xml:space="preserve">erstatte den trinvise afviklingsproces i den nuværende indretning af </w:t>
      </w:r>
      <w:r w:rsidR="00354115">
        <w:rPr>
          <w:iCs/>
        </w:rPr>
        <w:t xml:space="preserve">infrastrukturen for </w:t>
      </w:r>
      <w:r w:rsidRPr="001D0740">
        <w:rPr>
          <w:iCs/>
        </w:rPr>
        <w:t>kapitalmarked</w:t>
      </w:r>
      <w:r w:rsidR="00B32EE1">
        <w:rPr>
          <w:iCs/>
        </w:rPr>
        <w:t>; e</w:t>
      </w:r>
      <w:r w:rsidR="00BB4950">
        <w:rPr>
          <w:iCs/>
        </w:rPr>
        <w:t>t anvendelsesområde, som F</w:t>
      </w:r>
      <w:r>
        <w:rPr>
          <w:iCs/>
        </w:rPr>
        <w:t xml:space="preserve">inanstilsynet også </w:t>
      </w:r>
      <w:r w:rsidR="00BB4950">
        <w:rPr>
          <w:iCs/>
        </w:rPr>
        <w:t xml:space="preserve">har </w:t>
      </w:r>
      <w:r>
        <w:rPr>
          <w:iCs/>
        </w:rPr>
        <w:t>undersøgt</w:t>
      </w:r>
      <w:r w:rsidR="00BB4950">
        <w:rPr>
          <w:iCs/>
        </w:rPr>
        <w:t xml:space="preserve"> for en </w:t>
      </w:r>
      <w:r>
        <w:rPr>
          <w:iCs/>
        </w:rPr>
        <w:t>mere centraliseret variation af</w:t>
      </w:r>
      <w:r w:rsidR="00BB4950">
        <w:rPr>
          <w:iCs/>
        </w:rPr>
        <w:t xml:space="preserve"> DLT</w:t>
      </w:r>
      <w:r w:rsidRPr="00EA4852">
        <w:rPr>
          <w:rStyle w:val="Fodnotehenvisning"/>
        </w:rPr>
        <w:footnoteReference w:id="14"/>
      </w:r>
      <w:r w:rsidR="00BB4950">
        <w:rPr>
          <w:iCs/>
        </w:rPr>
        <w:t xml:space="preserve">. Finanstilsynet har </w:t>
      </w:r>
      <w:r w:rsidR="00B82149">
        <w:rPr>
          <w:iCs/>
        </w:rPr>
        <w:t>desuden</w:t>
      </w:r>
      <w:r w:rsidR="00BB4950">
        <w:rPr>
          <w:iCs/>
        </w:rPr>
        <w:t xml:space="preserve"> undersøgt</w:t>
      </w:r>
      <w:r w:rsidR="00AC4125">
        <w:rPr>
          <w:iCs/>
        </w:rPr>
        <w:t>,</w:t>
      </w:r>
      <w:r>
        <w:rPr>
          <w:iCs/>
        </w:rPr>
        <w:t xml:space="preserve"> hvordan blockchain kan </w:t>
      </w:r>
      <w:r w:rsidR="00B82149">
        <w:rPr>
          <w:iCs/>
        </w:rPr>
        <w:t>brug</w:t>
      </w:r>
      <w:r>
        <w:rPr>
          <w:iCs/>
        </w:rPr>
        <w:t>es som alternativ til den eksisterende betalingsinfrastruktur</w:t>
      </w:r>
      <w:r w:rsidRPr="00EA4852">
        <w:rPr>
          <w:rStyle w:val="Fodnotehenvisning"/>
        </w:rPr>
        <w:footnoteReference w:id="15"/>
      </w:r>
      <w:r>
        <w:rPr>
          <w:iCs/>
        </w:rPr>
        <w:t>.</w:t>
      </w:r>
      <w:r w:rsidR="00AC4125">
        <w:rPr>
          <w:iCs/>
        </w:rPr>
        <w:t xml:space="preserve"> </w:t>
      </w:r>
    </w:p>
    <w:p w14:paraId="30B3FF1B" w14:textId="77777777" w:rsidR="00B82149" w:rsidRDefault="00B82149" w:rsidP="00273EE7">
      <w:pPr>
        <w:rPr>
          <w:iCs/>
        </w:rPr>
      </w:pPr>
    </w:p>
    <w:p w14:paraId="385D38BB" w14:textId="0F6E98D1" w:rsidR="00273EE7" w:rsidRPr="00EA4852" w:rsidRDefault="00273EE7" w:rsidP="00273EE7">
      <w:pPr>
        <w:pStyle w:val="Brdtekst"/>
        <w:rPr>
          <w:b/>
        </w:rPr>
      </w:pPr>
      <w:r w:rsidRPr="00EA4852">
        <w:rPr>
          <w:b/>
        </w:rPr>
        <w:t xml:space="preserve">Figur </w:t>
      </w:r>
      <w:r>
        <w:rPr>
          <w:b/>
        </w:rPr>
        <w:t>B1.1</w:t>
      </w:r>
      <w:r w:rsidRPr="00EA4852">
        <w:rPr>
          <w:b/>
        </w:rPr>
        <w:t xml:space="preserve"> – </w:t>
      </w:r>
      <w:r w:rsidR="00B82149">
        <w:rPr>
          <w:b/>
        </w:rPr>
        <w:t>Brug af b</w:t>
      </w:r>
      <w:r w:rsidRPr="00EA4852">
        <w:rPr>
          <w:b/>
        </w:rPr>
        <w:t xml:space="preserve">lockchains i </w:t>
      </w:r>
      <w:r w:rsidR="00354115">
        <w:rPr>
          <w:b/>
        </w:rPr>
        <w:t xml:space="preserve">infrastrukturen for </w:t>
      </w:r>
      <w:r w:rsidRPr="00EA4852">
        <w:rPr>
          <w:b/>
        </w:rPr>
        <w:t>kapitalmarked</w:t>
      </w:r>
    </w:p>
    <w:p w14:paraId="6B5636A5" w14:textId="77777777" w:rsidR="00273EE7" w:rsidRDefault="00273EE7" w:rsidP="00273EE7">
      <w:pPr>
        <w:rPr>
          <w:b/>
          <w:bCs/>
          <w:iCs/>
          <w:sz w:val="16"/>
          <w:szCs w:val="14"/>
        </w:rPr>
      </w:pPr>
      <w:r>
        <w:rPr>
          <w:noProof/>
        </w:rPr>
        <w:drawing>
          <wp:anchor distT="0" distB="0" distL="0" distR="0" simplePos="0" relativeHeight="251649024" behindDoc="1" locked="0" layoutInCell="1" hidden="0" allowOverlap="1" wp14:anchorId="576C380A" wp14:editId="6E28BF9F">
            <wp:simplePos x="0" y="0"/>
            <wp:positionH relativeFrom="margin">
              <wp:align>right</wp:align>
            </wp:positionH>
            <wp:positionV relativeFrom="paragraph">
              <wp:posOffset>113665</wp:posOffset>
            </wp:positionV>
            <wp:extent cx="5372100" cy="2476500"/>
            <wp:effectExtent l="0" t="0" r="0" b="0"/>
            <wp:wrapNone/>
            <wp:docPr id="2109504157" name="Billede 2109504157" descr="Et billede, der indeholder tekst, software, skærmbillede, Multimediesoftware&#10;&#10;Automatisk genereret beskrivelse"/>
            <wp:cNvGraphicFramePr/>
            <a:graphic xmlns:a="http://schemas.openxmlformats.org/drawingml/2006/main">
              <a:graphicData uri="http://schemas.openxmlformats.org/drawingml/2006/picture">
                <pic:pic xmlns:pic="http://schemas.openxmlformats.org/drawingml/2006/picture">
                  <pic:nvPicPr>
                    <pic:cNvPr id="2109504157" name="Billede 2109504157" descr="Et billede, der indeholder tekst, software, skærmbillede, Multimediesoftware&#10;&#10;Automatisk genereret beskrivelse"/>
                    <pic:cNvPicPr preferRelativeResize="0"/>
                  </pic:nvPicPr>
                  <pic:blipFill>
                    <a:blip r:embed="rId17"/>
                    <a:srcRect/>
                    <a:stretch>
                      <a:fillRect/>
                    </a:stretch>
                  </pic:blipFill>
                  <pic:spPr>
                    <a:xfrm>
                      <a:off x="0" y="0"/>
                      <a:ext cx="5372100" cy="2476500"/>
                    </a:xfrm>
                    <a:prstGeom prst="rect">
                      <a:avLst/>
                    </a:prstGeom>
                    <a:ln/>
                  </pic:spPr>
                </pic:pic>
              </a:graphicData>
            </a:graphic>
            <wp14:sizeRelH relativeFrom="margin">
              <wp14:pctWidth>0</wp14:pctWidth>
            </wp14:sizeRelH>
            <wp14:sizeRelV relativeFrom="margin">
              <wp14:pctHeight>0</wp14:pctHeight>
            </wp14:sizeRelV>
          </wp:anchor>
        </w:drawing>
      </w:r>
    </w:p>
    <w:p w14:paraId="657B5A8A" w14:textId="77777777" w:rsidR="00273EE7" w:rsidRDefault="00273EE7" w:rsidP="00273EE7">
      <w:pPr>
        <w:rPr>
          <w:b/>
          <w:bCs/>
          <w:iCs/>
          <w:sz w:val="16"/>
          <w:szCs w:val="14"/>
        </w:rPr>
      </w:pPr>
    </w:p>
    <w:p w14:paraId="484D510D" w14:textId="77777777" w:rsidR="00273EE7" w:rsidRDefault="00273EE7" w:rsidP="00273EE7">
      <w:pPr>
        <w:rPr>
          <w:b/>
          <w:bCs/>
          <w:iCs/>
          <w:sz w:val="16"/>
          <w:szCs w:val="14"/>
        </w:rPr>
      </w:pPr>
    </w:p>
    <w:p w14:paraId="592B2F4C" w14:textId="77777777" w:rsidR="00273EE7" w:rsidRDefault="00273EE7" w:rsidP="00273EE7">
      <w:pPr>
        <w:rPr>
          <w:b/>
          <w:bCs/>
          <w:iCs/>
          <w:sz w:val="16"/>
          <w:szCs w:val="14"/>
        </w:rPr>
      </w:pPr>
    </w:p>
    <w:p w14:paraId="68C24CB3" w14:textId="77777777" w:rsidR="00273EE7" w:rsidRDefault="00273EE7" w:rsidP="00273EE7">
      <w:pPr>
        <w:rPr>
          <w:b/>
          <w:bCs/>
          <w:iCs/>
          <w:sz w:val="16"/>
          <w:szCs w:val="14"/>
        </w:rPr>
      </w:pPr>
    </w:p>
    <w:p w14:paraId="010563EB" w14:textId="77777777" w:rsidR="00273EE7" w:rsidRDefault="00273EE7" w:rsidP="00273EE7">
      <w:pPr>
        <w:rPr>
          <w:b/>
          <w:bCs/>
          <w:iCs/>
          <w:sz w:val="16"/>
          <w:szCs w:val="14"/>
        </w:rPr>
      </w:pPr>
    </w:p>
    <w:p w14:paraId="46D6EFA2" w14:textId="77777777" w:rsidR="00273EE7" w:rsidRDefault="00273EE7" w:rsidP="00273EE7">
      <w:pPr>
        <w:rPr>
          <w:b/>
          <w:bCs/>
          <w:iCs/>
          <w:sz w:val="16"/>
          <w:szCs w:val="14"/>
        </w:rPr>
      </w:pPr>
    </w:p>
    <w:p w14:paraId="3EB3FBB6" w14:textId="77777777" w:rsidR="00273EE7" w:rsidRDefault="00273EE7" w:rsidP="00273EE7">
      <w:pPr>
        <w:rPr>
          <w:b/>
          <w:bCs/>
          <w:iCs/>
          <w:sz w:val="16"/>
          <w:szCs w:val="14"/>
        </w:rPr>
      </w:pPr>
    </w:p>
    <w:p w14:paraId="19CC3C9A" w14:textId="77777777" w:rsidR="00273EE7" w:rsidRDefault="00273EE7" w:rsidP="00273EE7">
      <w:pPr>
        <w:rPr>
          <w:b/>
          <w:bCs/>
          <w:iCs/>
          <w:sz w:val="16"/>
          <w:szCs w:val="14"/>
        </w:rPr>
      </w:pPr>
    </w:p>
    <w:p w14:paraId="4B3D9E5C" w14:textId="77777777" w:rsidR="00273EE7" w:rsidRDefault="00273EE7" w:rsidP="00273EE7">
      <w:pPr>
        <w:rPr>
          <w:b/>
          <w:bCs/>
          <w:iCs/>
          <w:sz w:val="16"/>
          <w:szCs w:val="14"/>
        </w:rPr>
      </w:pPr>
    </w:p>
    <w:p w14:paraId="15F11507" w14:textId="77777777" w:rsidR="00273EE7" w:rsidRDefault="00273EE7" w:rsidP="00273EE7">
      <w:pPr>
        <w:rPr>
          <w:b/>
          <w:bCs/>
          <w:iCs/>
          <w:sz w:val="16"/>
          <w:szCs w:val="14"/>
        </w:rPr>
      </w:pPr>
    </w:p>
    <w:p w14:paraId="5CC06CB5" w14:textId="77777777" w:rsidR="00273EE7" w:rsidRDefault="00273EE7" w:rsidP="00273EE7">
      <w:pPr>
        <w:rPr>
          <w:b/>
          <w:bCs/>
          <w:iCs/>
          <w:sz w:val="16"/>
          <w:szCs w:val="14"/>
        </w:rPr>
      </w:pPr>
    </w:p>
    <w:p w14:paraId="5D173A50" w14:textId="77777777" w:rsidR="00273EE7" w:rsidRDefault="00273EE7" w:rsidP="00273EE7">
      <w:pPr>
        <w:rPr>
          <w:b/>
          <w:bCs/>
          <w:iCs/>
          <w:sz w:val="16"/>
          <w:szCs w:val="14"/>
        </w:rPr>
      </w:pPr>
    </w:p>
    <w:p w14:paraId="5F24F1BE" w14:textId="77777777" w:rsidR="00273EE7" w:rsidRDefault="00273EE7" w:rsidP="00273EE7">
      <w:pPr>
        <w:rPr>
          <w:b/>
          <w:bCs/>
          <w:iCs/>
          <w:sz w:val="16"/>
          <w:szCs w:val="14"/>
        </w:rPr>
      </w:pPr>
    </w:p>
    <w:p w14:paraId="275AE855" w14:textId="77777777" w:rsidR="00273EE7" w:rsidRDefault="00273EE7" w:rsidP="00273EE7">
      <w:pPr>
        <w:rPr>
          <w:b/>
          <w:bCs/>
          <w:iCs/>
          <w:sz w:val="18"/>
          <w:szCs w:val="16"/>
        </w:rPr>
      </w:pPr>
    </w:p>
    <w:p w14:paraId="658FC457" w14:textId="72ECC684" w:rsidR="00273EE7" w:rsidRPr="000443AF" w:rsidRDefault="00273EE7" w:rsidP="00273EE7">
      <w:pPr>
        <w:rPr>
          <w:iCs/>
          <w:sz w:val="18"/>
          <w:szCs w:val="16"/>
        </w:rPr>
      </w:pPr>
      <w:r w:rsidRPr="000443AF">
        <w:rPr>
          <w:b/>
          <w:bCs/>
          <w:iCs/>
          <w:sz w:val="18"/>
          <w:szCs w:val="16"/>
        </w:rPr>
        <w:t xml:space="preserve">Kilde: </w:t>
      </w:r>
      <w:r w:rsidRPr="000443AF">
        <w:rPr>
          <w:iCs/>
          <w:sz w:val="18"/>
          <w:szCs w:val="16"/>
        </w:rPr>
        <w:t>Fra</w:t>
      </w:r>
      <w:r w:rsidRPr="000443AF">
        <w:rPr>
          <w:b/>
          <w:bCs/>
          <w:iCs/>
          <w:sz w:val="18"/>
          <w:szCs w:val="16"/>
        </w:rPr>
        <w:t xml:space="preserve"> </w:t>
      </w:r>
      <w:r w:rsidRPr="000443AF">
        <w:rPr>
          <w:iCs/>
          <w:sz w:val="18"/>
          <w:szCs w:val="16"/>
        </w:rPr>
        <w:t xml:space="preserve">præsentation </w:t>
      </w:r>
      <w:r w:rsidR="00AE448D">
        <w:rPr>
          <w:iCs/>
          <w:sz w:val="18"/>
          <w:szCs w:val="16"/>
        </w:rPr>
        <w:t xml:space="preserve">af deltager </w:t>
      </w:r>
      <w:r w:rsidRPr="000443AF">
        <w:rPr>
          <w:iCs/>
          <w:sz w:val="18"/>
          <w:szCs w:val="16"/>
        </w:rPr>
        <w:t xml:space="preserve">i Finanstilsynets arbejdsgruppe for decentral finans. </w:t>
      </w:r>
    </w:p>
    <w:p w14:paraId="51396409" w14:textId="77777777" w:rsidR="00273EE7" w:rsidRDefault="00273EE7" w:rsidP="000443AF"/>
    <w:p w14:paraId="01B8B543" w14:textId="05AE7CA9" w:rsidR="000443AF" w:rsidRDefault="00AC4125" w:rsidP="000443AF">
      <w:pPr>
        <w:rPr>
          <w:iCs/>
        </w:rPr>
      </w:pPr>
      <w:r>
        <w:t>Definitionen på DLT forudsætter</w:t>
      </w:r>
      <w:r w:rsidR="00B82149">
        <w:t>,</w:t>
      </w:r>
      <w:r>
        <w:t xml:space="preserve"> at hovedbogen er distribueret. Det </w:t>
      </w:r>
      <w:r w:rsidR="00B82149">
        <w:t>vil sige</w:t>
      </w:r>
      <w:r>
        <w:t xml:space="preserve">, at </w:t>
      </w:r>
      <w:r w:rsidR="00B82149">
        <w:t>hovedbog</w:t>
      </w:r>
      <w:r>
        <w:t xml:space="preserve">en </w:t>
      </w:r>
      <w:proofErr w:type="spellStart"/>
      <w:r>
        <w:t>r</w:t>
      </w:r>
      <w:r w:rsidR="000443AF">
        <w:t>eplikeres</w:t>
      </w:r>
      <w:proofErr w:type="spellEnd"/>
      <w:r w:rsidR="000443AF">
        <w:t xml:space="preserve"> og synkroniseres på tværs af</w:t>
      </w:r>
      <w:r w:rsidR="000443AF" w:rsidRPr="006C2561">
        <w:t xml:space="preserve"> </w:t>
      </w:r>
      <w:r w:rsidR="000443AF">
        <w:t xml:space="preserve">et </w:t>
      </w:r>
      <w:r w:rsidR="000443AF" w:rsidRPr="00645438">
        <w:t>peer-to-peer</w:t>
      </w:r>
      <w:r w:rsidR="00B82149" w:rsidRPr="00B82149">
        <w:t>-</w:t>
      </w:r>
      <w:r w:rsidR="000443AF" w:rsidRPr="00B82149">
        <w:t>netværk</w:t>
      </w:r>
      <w:r w:rsidR="000443AF" w:rsidRPr="006C2561">
        <w:t xml:space="preserve"> </w:t>
      </w:r>
      <w:r w:rsidR="00B82149">
        <w:t xml:space="preserve">(P2P) </w:t>
      </w:r>
      <w:r w:rsidR="000443AF" w:rsidRPr="006C2561">
        <w:t>af</w:t>
      </w:r>
      <w:r w:rsidR="000443AF">
        <w:t xml:space="preserve"> </w:t>
      </w:r>
      <w:proofErr w:type="spellStart"/>
      <w:r w:rsidR="000443AF">
        <w:t>netknudepunkter</w:t>
      </w:r>
      <w:proofErr w:type="spellEnd"/>
      <w:r w:rsidR="000443AF">
        <w:t xml:space="preserve">. </w:t>
      </w:r>
      <w:r w:rsidR="00B82149">
        <w:t xml:space="preserve">En distribueret hovedbog </w:t>
      </w:r>
      <w:r w:rsidR="000443AF">
        <w:rPr>
          <w:iCs/>
        </w:rPr>
        <w:t xml:space="preserve">adskiller sig </w:t>
      </w:r>
      <w:r w:rsidR="00B82149">
        <w:rPr>
          <w:iCs/>
        </w:rPr>
        <w:t xml:space="preserve">hermed </w:t>
      </w:r>
      <w:r w:rsidR="000443AF">
        <w:rPr>
          <w:iCs/>
        </w:rPr>
        <w:t xml:space="preserve">fra en central hovedbog, der opbevares og driftes på et centralt </w:t>
      </w:r>
      <w:proofErr w:type="spellStart"/>
      <w:r w:rsidR="000443AF">
        <w:rPr>
          <w:iCs/>
        </w:rPr>
        <w:t>netknudepunkt</w:t>
      </w:r>
      <w:proofErr w:type="spellEnd"/>
      <w:r w:rsidR="000443AF">
        <w:rPr>
          <w:iCs/>
        </w:rPr>
        <w:t xml:space="preserve"> og på den måde også udgør et såkaldt </w:t>
      </w:r>
      <w:r w:rsidR="000443AF" w:rsidRPr="00645438">
        <w:rPr>
          <w:iCs/>
        </w:rPr>
        <w:t xml:space="preserve">single point of </w:t>
      </w:r>
      <w:proofErr w:type="spellStart"/>
      <w:r w:rsidR="000443AF" w:rsidRPr="00645438">
        <w:rPr>
          <w:iCs/>
        </w:rPr>
        <w:t>failure</w:t>
      </w:r>
      <w:proofErr w:type="spellEnd"/>
      <w:r w:rsidR="000443AF">
        <w:rPr>
          <w:iCs/>
        </w:rPr>
        <w:t xml:space="preserve">. Synkroniseringen og </w:t>
      </w:r>
      <w:proofErr w:type="spellStart"/>
      <w:r w:rsidR="000443AF">
        <w:rPr>
          <w:iCs/>
        </w:rPr>
        <w:t>replikeringen</w:t>
      </w:r>
      <w:proofErr w:type="spellEnd"/>
      <w:r w:rsidR="000443AF">
        <w:rPr>
          <w:iCs/>
        </w:rPr>
        <w:t xml:space="preserve"> af hovedbogen mitigerer risikoen for, at den bliver utilgængelig, </w:t>
      </w:r>
      <w:r w:rsidR="00790B26">
        <w:rPr>
          <w:iCs/>
        </w:rPr>
        <w:t>hvis</w:t>
      </w:r>
      <w:r w:rsidR="000443AF">
        <w:rPr>
          <w:iCs/>
        </w:rPr>
        <w:t xml:space="preserve"> et </w:t>
      </w:r>
      <w:proofErr w:type="spellStart"/>
      <w:r w:rsidR="000443AF">
        <w:rPr>
          <w:iCs/>
        </w:rPr>
        <w:t>netknudepunkt</w:t>
      </w:r>
      <w:proofErr w:type="spellEnd"/>
      <w:r w:rsidR="000443AF">
        <w:rPr>
          <w:iCs/>
        </w:rPr>
        <w:t xml:space="preserve"> </w:t>
      </w:r>
      <w:r w:rsidR="007A53DC">
        <w:rPr>
          <w:iCs/>
        </w:rPr>
        <w:t>f.eks.</w:t>
      </w:r>
      <w:r w:rsidR="000443AF">
        <w:rPr>
          <w:iCs/>
        </w:rPr>
        <w:t xml:space="preserve"> </w:t>
      </w:r>
      <w:r w:rsidR="00B82149">
        <w:rPr>
          <w:iCs/>
        </w:rPr>
        <w:t xml:space="preserve">bliver </w:t>
      </w:r>
      <w:r w:rsidR="000443AF">
        <w:rPr>
          <w:iCs/>
        </w:rPr>
        <w:t>hacke</w:t>
      </w:r>
      <w:r w:rsidR="00B82149">
        <w:rPr>
          <w:iCs/>
        </w:rPr>
        <w:t>t</w:t>
      </w:r>
      <w:r w:rsidR="000443AF">
        <w:rPr>
          <w:iCs/>
        </w:rPr>
        <w:t xml:space="preserve"> eller bryder sammen. </w:t>
      </w:r>
    </w:p>
    <w:p w14:paraId="260E7BAC" w14:textId="77777777" w:rsidR="000443AF" w:rsidRDefault="000443AF" w:rsidP="000443AF">
      <w:pPr>
        <w:rPr>
          <w:iCs/>
        </w:rPr>
      </w:pPr>
    </w:p>
    <w:p w14:paraId="14AB2F09" w14:textId="46012556" w:rsidR="000443AF" w:rsidRDefault="000443AF" w:rsidP="000443AF">
      <w:r>
        <w:t xml:space="preserve">I </w:t>
      </w:r>
      <w:r w:rsidR="00654716">
        <w:t>de fleste</w:t>
      </w:r>
      <w:r>
        <w:t xml:space="preserve"> </w:t>
      </w:r>
      <w:r w:rsidR="00EB31E9">
        <w:t>decentrale DLT</w:t>
      </w:r>
      <w:r w:rsidR="00654716">
        <w:t>-</w:t>
      </w:r>
      <w:r w:rsidR="007A53DC">
        <w:t>systemer</w:t>
      </w:r>
      <w:r w:rsidR="00654716">
        <w:t xml:space="preserve"> </w:t>
      </w:r>
      <w:r w:rsidRPr="006C2561">
        <w:t xml:space="preserve">opbevarer og vedligeholder </w:t>
      </w:r>
      <w:r>
        <w:t xml:space="preserve">hvert </w:t>
      </w:r>
      <w:proofErr w:type="spellStart"/>
      <w:r>
        <w:t>netknudepunkt</w:t>
      </w:r>
      <w:proofErr w:type="spellEnd"/>
      <w:r>
        <w:t xml:space="preserve"> </w:t>
      </w:r>
      <w:r w:rsidR="00B82149">
        <w:t>som</w:t>
      </w:r>
      <w:r>
        <w:t xml:space="preserve"> udgangspunkt den fulde hovedbog </w:t>
      </w:r>
      <w:r w:rsidRPr="006C2561">
        <w:t xml:space="preserve">og bidrager </w:t>
      </w:r>
      <w:r>
        <w:t xml:space="preserve">løbende </w:t>
      </w:r>
      <w:r w:rsidRPr="006C2561">
        <w:t>til at validere og inkludere ny data.</w:t>
      </w:r>
      <w:r>
        <w:t xml:space="preserve"> Det sker i overensstemmelse med konsensusmekanisme</w:t>
      </w:r>
      <w:r w:rsidR="00EB31E9">
        <w:t>n</w:t>
      </w:r>
      <w:r>
        <w:t xml:space="preserve">, der koordinerer de enkelte </w:t>
      </w:r>
      <w:proofErr w:type="spellStart"/>
      <w:r>
        <w:t>netknudepunkters</w:t>
      </w:r>
      <w:proofErr w:type="spellEnd"/>
      <w:r>
        <w:t xml:space="preserve"> bidrag til driften og sikrer, at registreringer kun </w:t>
      </w:r>
      <w:r w:rsidR="001470F4">
        <w:t>s</w:t>
      </w:r>
      <w:r w:rsidR="00D16E47">
        <w:t>ker</w:t>
      </w:r>
      <w:r w:rsidR="00095AC6">
        <w:t xml:space="preserve">, </w:t>
      </w:r>
      <w:r w:rsidR="00D16E47">
        <w:t xml:space="preserve">hvis der blandt </w:t>
      </w:r>
      <w:proofErr w:type="spellStart"/>
      <w:r w:rsidR="00D16E47">
        <w:t>netknudepunkterne</w:t>
      </w:r>
      <w:proofErr w:type="spellEnd"/>
      <w:r w:rsidR="00D16E47">
        <w:t xml:space="preserve"> opnås </w:t>
      </w:r>
      <w:r>
        <w:t xml:space="preserve">konsensus om registreringens validitet. </w:t>
      </w:r>
    </w:p>
    <w:p w14:paraId="06382392" w14:textId="77777777" w:rsidR="000443AF" w:rsidRDefault="000443AF" w:rsidP="000443AF"/>
    <w:p w14:paraId="32B94D77" w14:textId="680AF73E" w:rsidR="000443AF" w:rsidRDefault="000443AF" w:rsidP="000443AF">
      <w:r>
        <w:t xml:space="preserve">Der findes mange forskellige konsensusmekanismer, der hver især </w:t>
      </w:r>
      <w:r w:rsidR="001470F4">
        <w:t>brug</w:t>
      </w:r>
      <w:r>
        <w:t xml:space="preserve">er egne metoder </w:t>
      </w:r>
      <w:r w:rsidR="001470F4">
        <w:t xml:space="preserve">til at </w:t>
      </w:r>
      <w:r>
        <w:t>fordel</w:t>
      </w:r>
      <w:r w:rsidR="001470F4">
        <w:t>e</w:t>
      </w:r>
      <w:r>
        <w:t xml:space="preserve"> beslutningskompetencer. På Bitcoins blockchain opnås beslutningskompetencerne </w:t>
      </w:r>
      <w:r w:rsidR="00654716">
        <w:t xml:space="preserve">f.eks. </w:t>
      </w:r>
      <w:r>
        <w:t>gennem computerkraften, der stilles til rådighed (</w:t>
      </w:r>
      <w:proofErr w:type="spellStart"/>
      <w:r>
        <w:t>Proof</w:t>
      </w:r>
      <w:proofErr w:type="spellEnd"/>
      <w:r>
        <w:t>-of-Work</w:t>
      </w:r>
      <w:r w:rsidR="001470F4">
        <w:t xml:space="preserve">, </w:t>
      </w:r>
      <w:proofErr w:type="spellStart"/>
      <w:r w:rsidR="001470F4">
        <w:t>PoW</w:t>
      </w:r>
      <w:proofErr w:type="spellEnd"/>
      <w:r>
        <w:t xml:space="preserve">), mens de på </w:t>
      </w:r>
      <w:proofErr w:type="spellStart"/>
      <w:r>
        <w:t>Ethereum</w:t>
      </w:r>
      <w:proofErr w:type="spellEnd"/>
      <w:r>
        <w:t xml:space="preserve"> tildeles på baggrund af mængden af ressourcer, som det enkelte </w:t>
      </w:r>
      <w:proofErr w:type="spellStart"/>
      <w:r>
        <w:t>netknudepunkt</w:t>
      </w:r>
      <w:proofErr w:type="spellEnd"/>
      <w:r>
        <w:t xml:space="preserve"> stiller som sikkerhed (</w:t>
      </w:r>
      <w:proofErr w:type="spellStart"/>
      <w:r>
        <w:t>Proof</w:t>
      </w:r>
      <w:proofErr w:type="spellEnd"/>
      <w:r>
        <w:t>-of-</w:t>
      </w:r>
      <w:proofErr w:type="spellStart"/>
      <w:r>
        <w:t>Stake</w:t>
      </w:r>
      <w:proofErr w:type="spellEnd"/>
      <w:r w:rsidR="001470F4">
        <w:t xml:space="preserve">, </w:t>
      </w:r>
      <w:proofErr w:type="spellStart"/>
      <w:r w:rsidR="001470F4">
        <w:t>PoS</w:t>
      </w:r>
      <w:proofErr w:type="spellEnd"/>
      <w:r>
        <w:t xml:space="preserve">). Indretningen af konsensusmekanismer </w:t>
      </w:r>
      <w:r w:rsidR="00785CAF">
        <w:t xml:space="preserve">er med til at sikre </w:t>
      </w:r>
      <w:r>
        <w:t>et DLT-system. Reglerne for konsensus afhænger derfor også af, om DLT-</w:t>
      </w:r>
      <w:r w:rsidR="007A53DC">
        <w:t>systemet</w:t>
      </w:r>
      <w:r>
        <w:t xml:space="preserve"> driftes centralt eller decentralt. I decentrale systemer </w:t>
      </w:r>
      <w:r w:rsidR="00AD7C68">
        <w:t>valideres registreringer</w:t>
      </w:r>
      <w:r w:rsidR="00785CAF">
        <w:t xml:space="preserve"> nemlig</w:t>
      </w:r>
      <w:r w:rsidR="00AD7C68">
        <w:t xml:space="preserve"> gennem konsensusmekanismen fremfor af en </w:t>
      </w:r>
      <w:r>
        <w:t xml:space="preserve">central udbyder </w:t>
      </w:r>
      <w:r w:rsidR="00891CC1">
        <w:t>af infrastruktur</w:t>
      </w:r>
      <w:r>
        <w:t xml:space="preserve">. Det medfører </w:t>
      </w:r>
      <w:r w:rsidR="00513F3F">
        <w:t xml:space="preserve">også </w:t>
      </w:r>
      <w:r>
        <w:t>en vis sårbarhed overfor ondsindede aktører</w:t>
      </w:r>
      <w:r w:rsidR="001470F4">
        <w:t>,</w:t>
      </w:r>
      <w:r>
        <w:t xml:space="preserve"> </w:t>
      </w:r>
      <w:r w:rsidR="001470F4">
        <w:t>f.eks.</w:t>
      </w:r>
      <w:r>
        <w:t xml:space="preserve"> såkaldte 51-procentsangreb</w:t>
      </w:r>
      <w:r w:rsidR="001470F4" w:rsidRPr="00EA4852">
        <w:rPr>
          <w:rStyle w:val="Fodnotehenvisning"/>
        </w:rPr>
        <w:footnoteReference w:id="16"/>
      </w:r>
      <w:r>
        <w:t>. Disse konsensusmekanismer er derfor indrettet med incitamentsstrukturer, der skal sikre en troværdig drift af hovedbogen.</w:t>
      </w:r>
    </w:p>
    <w:p w14:paraId="09DD9544" w14:textId="77777777" w:rsidR="000443AF" w:rsidRDefault="000443AF" w:rsidP="000443AF"/>
    <w:p w14:paraId="14B40CAD" w14:textId="00C4E625" w:rsidR="000443AF" w:rsidRDefault="000443AF" w:rsidP="000443AF">
      <w:r>
        <w:t>DLT-</w:t>
      </w:r>
      <w:r w:rsidR="007A53DC">
        <w:t>systemer</w:t>
      </w:r>
      <w:r w:rsidR="00354115">
        <w:t xml:space="preserve"> er også kendetegnet ved</w:t>
      </w:r>
      <w:r>
        <w:t>, at hovedbogen er transaktionsbaseret</w:t>
      </w:r>
      <w:r w:rsidR="00095AC6">
        <w:t>,</w:t>
      </w:r>
      <w:r>
        <w:t xml:space="preserve"> og </w:t>
      </w:r>
      <w:r w:rsidR="000A2F9B">
        <w:t>at kr</w:t>
      </w:r>
      <w:r>
        <w:t xml:space="preserve">yptografiske teknikker </w:t>
      </w:r>
      <w:r w:rsidR="00095AC6">
        <w:t>brug</w:t>
      </w:r>
      <w:r w:rsidR="000A2F9B">
        <w:t xml:space="preserve">es til at </w:t>
      </w:r>
      <w:r>
        <w:t xml:space="preserve">forbinde hovedbogen i en kædestruktur </w:t>
      </w:r>
      <w:r w:rsidR="00AB087B">
        <w:t xml:space="preserve">for at </w:t>
      </w:r>
      <w:r>
        <w:t>sikre, at registreret data hverken kan slettes eller ændres</w:t>
      </w:r>
      <w:r w:rsidR="00AB087B">
        <w:t>,</w:t>
      </w:r>
      <w:r>
        <w:t xml:space="preserve"> efter </w:t>
      </w:r>
      <w:r w:rsidR="00AB087B">
        <w:t xml:space="preserve">at det er blevet </w:t>
      </w:r>
      <w:r>
        <w:t>tilføje</w:t>
      </w:r>
      <w:r w:rsidR="00AB087B">
        <w:t>t</w:t>
      </w:r>
      <w:r>
        <w:t>, uden at det kan identificeres</w:t>
      </w:r>
      <w:r w:rsidR="000A2F9B">
        <w:t xml:space="preserve"> (såkaldt </w:t>
      </w:r>
      <w:proofErr w:type="spellStart"/>
      <w:r w:rsidR="000A2F9B">
        <w:t>immutability</w:t>
      </w:r>
      <w:proofErr w:type="spellEnd"/>
      <w:r w:rsidR="000A2F9B">
        <w:t>)</w:t>
      </w:r>
      <w:r>
        <w:t xml:space="preserve">. Det designmæssige fokus på </w:t>
      </w:r>
      <w:proofErr w:type="spellStart"/>
      <w:r w:rsidRPr="00645438">
        <w:t>immutability</w:t>
      </w:r>
      <w:proofErr w:type="spellEnd"/>
      <w:r w:rsidRPr="00645438">
        <w:t xml:space="preserve"> </w:t>
      </w:r>
      <w:r w:rsidR="00AB087B">
        <w:t>er</w:t>
      </w:r>
      <w:r>
        <w:t xml:space="preserve"> en central forskel fra mere traditionelle databaser, der ikke på samme </w:t>
      </w:r>
      <w:r w:rsidR="00AB087B">
        <w:t xml:space="preserve">måde </w:t>
      </w:r>
      <w:r>
        <w:t>forudsætter brugen af kryptografi i forbindelse med registreringer af data.</w:t>
      </w:r>
      <w:r w:rsidR="00DA663E">
        <w:t xml:space="preserve"> </w:t>
      </w:r>
      <w:r w:rsidR="00AB087B">
        <w:t xml:space="preserve">Selvom </w:t>
      </w:r>
      <w:proofErr w:type="spellStart"/>
      <w:r w:rsidR="00AB087B">
        <w:t>immutability</w:t>
      </w:r>
      <w:proofErr w:type="spellEnd"/>
      <w:r w:rsidR="00AB087B">
        <w:t xml:space="preserve"> </w:t>
      </w:r>
      <w:r>
        <w:t>er e</w:t>
      </w:r>
      <w:r w:rsidR="00AB087B">
        <w:t>n</w:t>
      </w:r>
      <w:r>
        <w:t xml:space="preserve"> central </w:t>
      </w:r>
      <w:r w:rsidR="00AB087B">
        <w:t>egenskab ved</w:t>
      </w:r>
      <w:r>
        <w:t xml:space="preserve"> sikkerheden </w:t>
      </w:r>
      <w:r w:rsidR="000A2F9B">
        <w:t>for</w:t>
      </w:r>
      <w:r>
        <w:t xml:space="preserve"> særligt de decentrale variationer af </w:t>
      </w:r>
      <w:r w:rsidRPr="00AB087B">
        <w:t>DLT</w:t>
      </w:r>
      <w:r w:rsidR="00AB087B" w:rsidRPr="00AB087B">
        <w:t>,</w:t>
      </w:r>
      <w:r w:rsidR="00AB087B" w:rsidRPr="00645438">
        <w:t xml:space="preserve"> </w:t>
      </w:r>
      <w:r w:rsidR="00AB087B">
        <w:t>e</w:t>
      </w:r>
      <w:r w:rsidR="00AB087B" w:rsidRPr="00AB087B">
        <w:t xml:space="preserve">r </w:t>
      </w:r>
      <w:proofErr w:type="spellStart"/>
      <w:r w:rsidR="00AB087B" w:rsidRPr="00AB087B">
        <w:t>immutability</w:t>
      </w:r>
      <w:proofErr w:type="spellEnd"/>
      <w:r w:rsidR="00AB087B">
        <w:t xml:space="preserve"> ikke</w:t>
      </w:r>
      <w:r w:rsidR="00D340B7">
        <w:t xml:space="preserve"> umiddelbart</w:t>
      </w:r>
      <w:r w:rsidR="00AB087B">
        <w:t xml:space="preserve"> en betingelse i </w:t>
      </w:r>
      <w:proofErr w:type="spellStart"/>
      <w:r w:rsidR="00AB087B">
        <w:t>MiCA’s</w:t>
      </w:r>
      <w:proofErr w:type="spellEnd"/>
      <w:r w:rsidR="00AB087B">
        <w:t xml:space="preserve"> definition på en DLT.</w:t>
      </w:r>
    </w:p>
    <w:p w14:paraId="1C905D3B" w14:textId="77777777" w:rsidR="00790B26" w:rsidRDefault="00790B26" w:rsidP="000443AF"/>
    <w:p w14:paraId="0A19F456" w14:textId="58BFDAAD" w:rsidR="000443AF" w:rsidRDefault="000443AF" w:rsidP="002847C2">
      <w:pPr>
        <w:pStyle w:val="Overskrift3"/>
      </w:pPr>
      <w:r>
        <w:t>B1.2</w:t>
      </w:r>
      <w:r w:rsidR="002847C2">
        <w:t>. Applikationslaget</w:t>
      </w:r>
    </w:p>
    <w:p w14:paraId="6BCDA82B" w14:textId="414E93FD" w:rsidR="002847C2" w:rsidRDefault="001C0783" w:rsidP="002847C2">
      <w:r>
        <w:t xml:space="preserve">Applikationslaget muliggør grundlæggende udviklingen og tilgængeliggørelsen af såkaldte smartkontrakter i </w:t>
      </w:r>
      <w:r w:rsidR="00EB31E9">
        <w:t xml:space="preserve">et </w:t>
      </w:r>
      <w:r>
        <w:t>DLT-</w:t>
      </w:r>
      <w:r w:rsidR="007A53DC">
        <w:t>system</w:t>
      </w:r>
      <w:r w:rsidR="002847C2">
        <w:t xml:space="preserve">. I praksis </w:t>
      </w:r>
      <w:r>
        <w:t xml:space="preserve">kan </w:t>
      </w:r>
      <w:r w:rsidR="00395C94">
        <w:t xml:space="preserve">applikationslaget derfor </w:t>
      </w:r>
      <w:r w:rsidR="00525928">
        <w:t>brug</w:t>
      </w:r>
      <w:r w:rsidR="00395C94">
        <w:t xml:space="preserve">es </w:t>
      </w:r>
      <w:r>
        <w:t xml:space="preserve">til at </w:t>
      </w:r>
      <w:r w:rsidR="00525928">
        <w:t xml:space="preserve">gøre regulerede aktiviteter </w:t>
      </w:r>
      <w:r w:rsidR="00395C94">
        <w:t>tilgængelig</w:t>
      </w:r>
      <w:r w:rsidR="00525928">
        <w:t>e. Det sker</w:t>
      </w:r>
      <w:r>
        <w:t xml:space="preserve"> </w:t>
      </w:r>
      <w:r w:rsidR="00EB31E9">
        <w:t xml:space="preserve">som udgangspunkt </w:t>
      </w:r>
      <w:r w:rsidR="00525928">
        <w:t>med</w:t>
      </w:r>
      <w:r w:rsidR="00395C94">
        <w:t xml:space="preserve"> </w:t>
      </w:r>
      <w:r w:rsidR="002847C2">
        <w:t xml:space="preserve">et sæt af </w:t>
      </w:r>
      <w:r w:rsidR="00525928">
        <w:t xml:space="preserve">integrerede </w:t>
      </w:r>
      <w:r w:rsidR="002847C2">
        <w:t xml:space="preserve">smartkontrakter, der tilsammen gør </w:t>
      </w:r>
      <w:r>
        <w:t xml:space="preserve">aktiviteten </w:t>
      </w:r>
      <w:r w:rsidR="00525928">
        <w:t xml:space="preserve">tilgængelig </w:t>
      </w:r>
      <w:r w:rsidR="002847C2">
        <w:t>for brugere</w:t>
      </w:r>
      <w:r>
        <w:t>n</w:t>
      </w:r>
      <w:r w:rsidR="002847C2">
        <w:t xml:space="preserve">. </w:t>
      </w:r>
    </w:p>
    <w:p w14:paraId="4BB969CA" w14:textId="77777777" w:rsidR="002847C2" w:rsidRDefault="002847C2" w:rsidP="002847C2"/>
    <w:p w14:paraId="231C4114" w14:textId="1FBB1691" w:rsidR="002847C2" w:rsidRPr="00B73DC1" w:rsidRDefault="00525928" w:rsidP="002847C2">
      <w:r>
        <w:t>Konceptet s</w:t>
      </w:r>
      <w:r w:rsidR="002847C2">
        <w:t>martkontrakt er ikke entydigt defineret</w:t>
      </w:r>
      <w:r w:rsidR="00095AC6">
        <w:t xml:space="preserve">, </w:t>
      </w:r>
      <w:r w:rsidR="002847C2">
        <w:t xml:space="preserve">hverken i </w:t>
      </w:r>
      <w:proofErr w:type="spellStart"/>
      <w:r w:rsidR="002847C2">
        <w:t>MiCA</w:t>
      </w:r>
      <w:proofErr w:type="spellEnd"/>
      <w:r w:rsidR="002847C2">
        <w:t xml:space="preserve"> eller på området generelt. Ordlyden indikerer, at </w:t>
      </w:r>
      <w:r w:rsidR="00EC1235">
        <w:t xml:space="preserve">en </w:t>
      </w:r>
      <w:r>
        <w:t>smartkontrakt</w:t>
      </w:r>
      <w:r w:rsidR="002847C2">
        <w:t xml:space="preserve"> </w:t>
      </w:r>
      <w:r>
        <w:t>er</w:t>
      </w:r>
      <w:r w:rsidR="002847C2">
        <w:t xml:space="preserve"> mere end bare en digital repræsentation af en kontrakt eller aftale. Den mere gængse opfattelse af smartkontrakter er, at de </w:t>
      </w:r>
      <w:r w:rsidR="00EC1235">
        <w:t>e</w:t>
      </w:r>
      <w:r w:rsidR="002847C2">
        <w:t>r selvstændige programmer</w:t>
      </w:r>
      <w:r w:rsidR="00EC1235">
        <w:t xml:space="preserve">, </w:t>
      </w:r>
      <w:r w:rsidR="00095AC6">
        <w:t>der</w:t>
      </w:r>
      <w:r w:rsidR="00EC1235">
        <w:t xml:space="preserve"> er</w:t>
      </w:r>
      <w:r w:rsidR="002847C2">
        <w:t xml:space="preserve"> </w:t>
      </w:r>
      <w:r w:rsidR="00395C94">
        <w:t>tilgængeli</w:t>
      </w:r>
      <w:r w:rsidR="00EC1235">
        <w:t>ge</w:t>
      </w:r>
      <w:r w:rsidR="002847C2">
        <w:t xml:space="preserve"> </w:t>
      </w:r>
      <w:r w:rsidR="00EB31E9">
        <w:t>i et DLT-system</w:t>
      </w:r>
      <w:r w:rsidR="002847C2">
        <w:t xml:space="preserve">, som </w:t>
      </w:r>
      <w:r w:rsidR="00395C94">
        <w:t xml:space="preserve">brugere </w:t>
      </w:r>
      <w:r w:rsidR="002847C2">
        <w:t>kan tilgå. Det fremgår bl.a. af beskrivelse</w:t>
      </w:r>
      <w:r w:rsidR="00EB31E9">
        <w:t>n</w:t>
      </w:r>
      <w:r w:rsidR="002847C2">
        <w:t xml:space="preserve"> af smartkontrakt</w:t>
      </w:r>
      <w:r w:rsidR="00DA663E">
        <w:t>-</w:t>
      </w:r>
      <w:r w:rsidR="002847C2">
        <w:t>funktionalitet</w:t>
      </w:r>
      <w:r w:rsidR="00EB31E9">
        <w:t xml:space="preserve"> på </w:t>
      </w:r>
      <w:proofErr w:type="spellStart"/>
      <w:r w:rsidR="00EB31E9" w:rsidRPr="00B73DC1">
        <w:t>Ethereum</w:t>
      </w:r>
      <w:r w:rsidR="00EB31E9">
        <w:t>s</w:t>
      </w:r>
      <w:proofErr w:type="spellEnd"/>
      <w:r w:rsidR="00EB31E9">
        <w:t xml:space="preserve"> blockchain</w:t>
      </w:r>
      <w:r w:rsidR="002847C2">
        <w:t>:</w:t>
      </w:r>
      <w:r w:rsidR="002847C2" w:rsidRPr="00B73DC1">
        <w:t xml:space="preserve"> </w:t>
      </w:r>
    </w:p>
    <w:p w14:paraId="0DF955D0" w14:textId="77777777" w:rsidR="002847C2" w:rsidRPr="00B73DC1" w:rsidRDefault="002847C2" w:rsidP="002847C2"/>
    <w:p w14:paraId="315DD339" w14:textId="77777777" w:rsidR="002847C2" w:rsidRPr="00EA4852" w:rsidRDefault="002847C2" w:rsidP="002847C2">
      <w:pPr>
        <w:ind w:left="284" w:right="310"/>
        <w:rPr>
          <w:i/>
          <w:lang w:val="en-US"/>
        </w:rPr>
      </w:pPr>
      <w:r w:rsidRPr="00EA4852">
        <w:rPr>
          <w:i/>
          <w:lang w:val="en-US"/>
        </w:rPr>
        <w:t>“A "smart contract" is simply a program that runs on the Ethereum blockchain. It's a collection of code (its functions) and data (its state) that resides at a specific address on the Ethereum blockchain. Smart contracts are a type of Ethereum account. This means they have a balance and can be the target of transactions. However, they're not controlled by a user, instead they are deployed to the network and run as programmed. User accounts can then interact with a smart contract by submitting transactions that execute a function defined on the smart contract. Smart contracts can define rules, like a regular contract, and automatically enforce them via the code. Smart contracts cannot be deleted by default, and interactions with them are irreversible.”</w:t>
      </w:r>
      <w:r w:rsidRPr="00EA4852">
        <w:rPr>
          <w:rStyle w:val="Fodnotehenvisning"/>
          <w:lang w:val="en-US"/>
        </w:rPr>
        <w:t xml:space="preserve"> </w:t>
      </w:r>
      <w:r w:rsidRPr="00EA4852">
        <w:rPr>
          <w:rStyle w:val="Fodnotehenvisning"/>
        </w:rPr>
        <w:footnoteReference w:id="17"/>
      </w:r>
    </w:p>
    <w:p w14:paraId="777CF032" w14:textId="77777777" w:rsidR="002847C2" w:rsidRPr="00EA4852" w:rsidRDefault="002847C2" w:rsidP="002847C2">
      <w:pPr>
        <w:rPr>
          <w:lang w:val="en-US"/>
        </w:rPr>
      </w:pPr>
    </w:p>
    <w:p w14:paraId="0F179ABD" w14:textId="4154E494" w:rsidR="002847C2" w:rsidRDefault="001416C0" w:rsidP="002847C2">
      <w:r>
        <w:t>Denne type</w:t>
      </w:r>
      <w:r w:rsidR="002847C2">
        <w:t xml:space="preserve"> smartkontrakter</w:t>
      </w:r>
      <w:r w:rsidR="00DA663E">
        <w:t xml:space="preserve"> er kendetegnet ved</w:t>
      </w:r>
      <w:r w:rsidR="002847C2">
        <w:t>, at de hverken kan fjernes eller ændres, når de først er</w:t>
      </w:r>
      <w:r w:rsidR="00395C94">
        <w:t xml:space="preserve"> tilgængelig</w:t>
      </w:r>
      <w:r w:rsidR="008B16CF">
        <w:t>e</w:t>
      </w:r>
      <w:r w:rsidR="00395C94">
        <w:t xml:space="preserve"> på </w:t>
      </w:r>
      <w:proofErr w:type="spellStart"/>
      <w:r w:rsidR="00395C94">
        <w:t>Ethereum</w:t>
      </w:r>
      <w:proofErr w:type="spellEnd"/>
      <w:r w:rsidR="002847C2">
        <w:t xml:space="preserve">. De kan dog </w:t>
      </w:r>
      <w:r w:rsidR="00EC1235">
        <w:t xml:space="preserve">have </w:t>
      </w:r>
      <w:r w:rsidR="002847C2">
        <w:t>kode</w:t>
      </w:r>
      <w:r w:rsidR="00EC1235">
        <w:t xml:space="preserve"> indbygget</w:t>
      </w:r>
      <w:r w:rsidR="002847C2">
        <w:t xml:space="preserve">, der giver udvalgte deltagere adgang til at ændre de input, som </w:t>
      </w:r>
      <w:r w:rsidR="00EC1235">
        <w:t xml:space="preserve">den pågældende </w:t>
      </w:r>
      <w:r w:rsidR="002847C2">
        <w:t xml:space="preserve">smartkontrakt </w:t>
      </w:r>
      <w:r w:rsidR="00EC1235">
        <w:t xml:space="preserve">bruger, </w:t>
      </w:r>
      <w:r w:rsidR="00395C94">
        <w:t>når den udfører sin programmering</w:t>
      </w:r>
      <w:r w:rsidR="00EC1235">
        <w:t>. Det kan f.eks. være input i form af</w:t>
      </w:r>
      <w:r w:rsidR="002847C2">
        <w:t xml:space="preserve"> eksterne datakilder eller andre smartkontrakter, som smartkontrakt</w:t>
      </w:r>
      <w:r w:rsidR="00EC1235">
        <w:t>en</w:t>
      </w:r>
      <w:r w:rsidR="002847C2">
        <w:t xml:space="preserve"> skal kalde. </w:t>
      </w:r>
      <w:r w:rsidR="00EC1235">
        <w:t>Det</w:t>
      </w:r>
      <w:r w:rsidR="000A2F9B">
        <w:t xml:space="preserve"> er kendetegnende for </w:t>
      </w:r>
      <w:r w:rsidR="002847C2">
        <w:t>denne type smartkontrakter</w:t>
      </w:r>
      <w:r w:rsidR="000A2F9B">
        <w:t xml:space="preserve">, at de er repræsenteret på </w:t>
      </w:r>
      <w:r w:rsidR="00395C94">
        <w:t>blockchainen</w:t>
      </w:r>
      <w:r w:rsidR="000A2F9B">
        <w:t xml:space="preserve"> på samme måde som</w:t>
      </w:r>
      <w:r w:rsidR="00395C94">
        <w:t xml:space="preserve"> almindelige </w:t>
      </w:r>
      <w:r w:rsidR="002847C2">
        <w:t xml:space="preserve">brugere. De har </w:t>
      </w:r>
      <w:r w:rsidR="000A2F9B">
        <w:t xml:space="preserve">nemlig også </w:t>
      </w:r>
      <w:r w:rsidR="002847C2">
        <w:t xml:space="preserve">en selvstændig offentlig nøgle (konto) og til dels også en privat nøgle (brugsrettigheden til kontoen), </w:t>
      </w:r>
      <w:r w:rsidR="00EC1235">
        <w:t xml:space="preserve">selvom </w:t>
      </w:r>
      <w:r w:rsidR="00380EF4">
        <w:t xml:space="preserve">det i praksis er smartkontraktens programmering, der udgør </w:t>
      </w:r>
      <w:r w:rsidR="00EC1235">
        <w:t>den</w:t>
      </w:r>
      <w:r w:rsidR="002847C2">
        <w:t xml:space="preserve"> handling, </w:t>
      </w:r>
      <w:r w:rsidR="00380EF4">
        <w:t>som</w:t>
      </w:r>
      <w:r w:rsidR="002847C2">
        <w:t xml:space="preserve"> leder til </w:t>
      </w:r>
      <w:r w:rsidR="00380EF4">
        <w:t xml:space="preserve">brug </w:t>
      </w:r>
      <w:r w:rsidR="002847C2">
        <w:t>af den private nøgle</w:t>
      </w:r>
      <w:r w:rsidR="002847C2" w:rsidRPr="00EA4852">
        <w:rPr>
          <w:rStyle w:val="Fodnotehenvisning"/>
        </w:rPr>
        <w:footnoteReference w:id="18"/>
      </w:r>
      <w:r w:rsidR="00380EF4">
        <w:t>.</w:t>
      </w:r>
      <w:r w:rsidR="002847C2">
        <w:t xml:space="preserve"> Smartkontrakter er </w:t>
      </w:r>
      <w:r w:rsidR="00380EF4">
        <w:t>med andre ord</w:t>
      </w:r>
      <w:r w:rsidR="002847C2">
        <w:t xml:space="preserve"> fuldstændig</w:t>
      </w:r>
      <w:r w:rsidR="00095AC6">
        <w:t>t</w:t>
      </w:r>
      <w:r w:rsidR="002847C2">
        <w:t xml:space="preserve"> begrænset til at handle efter deres</w:t>
      </w:r>
      <w:r w:rsidR="00395C94">
        <w:t xml:space="preserve"> programmering</w:t>
      </w:r>
      <w:r w:rsidR="00DA663E">
        <w:t xml:space="preserve">, </w:t>
      </w:r>
      <w:r w:rsidR="00380EF4">
        <w:t>i modsætning til</w:t>
      </w:r>
      <w:r w:rsidR="002847C2">
        <w:t xml:space="preserve"> brugere, der aktivt skal signere handlinger med den private nøgle.  </w:t>
      </w:r>
    </w:p>
    <w:p w14:paraId="04804627" w14:textId="77777777" w:rsidR="000443AF" w:rsidRDefault="000443AF" w:rsidP="000443AF"/>
    <w:p w14:paraId="2F6C2D25" w14:textId="3D8770B3" w:rsidR="002847C2" w:rsidRDefault="002847C2" w:rsidP="002847C2">
      <w:pPr>
        <w:pStyle w:val="Overskrift3"/>
      </w:pPr>
      <w:r>
        <w:t>B1.3. Brugergrænseflader til DLT-</w:t>
      </w:r>
      <w:r w:rsidR="007A53DC">
        <w:t>systemer</w:t>
      </w:r>
    </w:p>
    <w:p w14:paraId="592EB83D" w14:textId="15C1C229" w:rsidR="00D449C3" w:rsidRDefault="00D449C3" w:rsidP="00D449C3">
      <w:r>
        <w:t>Brugergrænseflader er central</w:t>
      </w:r>
      <w:r w:rsidR="00AB7487">
        <w:t>e</w:t>
      </w:r>
      <w:r>
        <w:t xml:space="preserve">, fordi de udgør bindeleddet mellem brugere og </w:t>
      </w:r>
      <w:r w:rsidR="00D37F61">
        <w:t>DLT-</w:t>
      </w:r>
      <w:r w:rsidR="007A53DC">
        <w:t>systemet</w:t>
      </w:r>
      <w:r>
        <w:t xml:space="preserve">. </w:t>
      </w:r>
      <w:r w:rsidR="00DA663E">
        <w:t>D</w:t>
      </w:r>
      <w:r>
        <w:t xml:space="preserve">et </w:t>
      </w:r>
      <w:r w:rsidR="00DA663E">
        <w:t xml:space="preserve">er </w:t>
      </w:r>
      <w:r w:rsidR="007445B9">
        <w:t xml:space="preserve">f.eks. </w:t>
      </w:r>
      <w:r>
        <w:t>i praksis</w:t>
      </w:r>
      <w:r w:rsidR="00DA663E">
        <w:t xml:space="preserve"> </w:t>
      </w:r>
      <w:r>
        <w:t xml:space="preserve">muligt for enhver aktør at interagere direkte med en konventionel blockchain og de dertilhørende </w:t>
      </w:r>
      <w:proofErr w:type="spellStart"/>
      <w:r>
        <w:t>DeFi</w:t>
      </w:r>
      <w:proofErr w:type="spellEnd"/>
      <w:r>
        <w:t xml:space="preserve">-tjenester, </w:t>
      </w:r>
      <w:r w:rsidR="00DA663E">
        <w:t xml:space="preserve">men det </w:t>
      </w:r>
      <w:r>
        <w:t xml:space="preserve">forudsætter betydelige programmeringsfærdigheder og teknisk ekspertise. </w:t>
      </w:r>
      <w:r w:rsidR="00AB7487">
        <w:t xml:space="preserve">Den bredere </w:t>
      </w:r>
      <w:r w:rsidR="000A2F9B">
        <w:t>brugerkreds</w:t>
      </w:r>
      <w:r w:rsidR="00AB7487">
        <w:t xml:space="preserve"> </w:t>
      </w:r>
      <w:r w:rsidR="007445B9">
        <w:t xml:space="preserve">vil derfor </w:t>
      </w:r>
      <w:r w:rsidR="00AB7487">
        <w:t xml:space="preserve">normalt </w:t>
      </w:r>
      <w:r w:rsidR="007445B9">
        <w:t xml:space="preserve">opnå </w:t>
      </w:r>
      <w:r w:rsidR="00AB7487">
        <w:t>a</w:t>
      </w:r>
      <w:r>
        <w:t>dgang til</w:t>
      </w:r>
      <w:r w:rsidR="00AB7487">
        <w:t xml:space="preserve"> </w:t>
      </w:r>
      <w:proofErr w:type="spellStart"/>
      <w:r>
        <w:t>DeFi</w:t>
      </w:r>
      <w:proofErr w:type="spellEnd"/>
      <w:r>
        <w:t xml:space="preserve">-tjenester </w:t>
      </w:r>
      <w:r w:rsidR="00D37F61">
        <w:t xml:space="preserve">gennem brugergrænseflader, </w:t>
      </w:r>
      <w:r w:rsidR="007445B9">
        <w:t>der enten</w:t>
      </w:r>
      <w:r w:rsidR="00D37F61">
        <w:t xml:space="preserve"> består </w:t>
      </w:r>
      <w:r>
        <w:t xml:space="preserve">af webgrænseflader, </w:t>
      </w:r>
      <w:r w:rsidR="00095AC6">
        <w:t>som</w:t>
      </w:r>
      <w:r>
        <w:t xml:space="preserve"> kan tilgås v</w:t>
      </w:r>
      <w:r w:rsidR="00AB7487">
        <w:t>ia</w:t>
      </w:r>
      <w:r>
        <w:t xml:space="preserve"> en internetbrowser</w:t>
      </w:r>
      <w:r w:rsidR="00AB7487">
        <w:t xml:space="preserve"> eller </w:t>
      </w:r>
      <w:r>
        <w:t xml:space="preserve">forskellige apps, </w:t>
      </w:r>
      <w:r w:rsidR="00095AC6">
        <w:t>der</w:t>
      </w:r>
      <w:r>
        <w:t xml:space="preserve"> kan downloades på </w:t>
      </w:r>
      <w:r w:rsidR="00AB7487">
        <w:t xml:space="preserve">de </w:t>
      </w:r>
      <w:r>
        <w:t xml:space="preserve">fleste enheders app-markedspladser, eller </w:t>
      </w:r>
      <w:r w:rsidR="00970BB7">
        <w:t xml:space="preserve">som </w:t>
      </w:r>
      <w:r>
        <w:t>bestå</w:t>
      </w:r>
      <w:r w:rsidR="00970BB7">
        <w:t>r</w:t>
      </w:r>
      <w:r>
        <w:t xml:space="preserve"> af software på såkaldte hardware</w:t>
      </w:r>
      <w:r w:rsidR="007551B4">
        <w:t xml:space="preserve"> </w:t>
      </w:r>
      <w:proofErr w:type="spellStart"/>
      <w:r>
        <w:t>wallets</w:t>
      </w:r>
      <w:proofErr w:type="spellEnd"/>
      <w:r>
        <w:t xml:space="preserve">. </w:t>
      </w:r>
      <w:r w:rsidR="00D37F61">
        <w:lastRenderedPageBreak/>
        <w:t>Brugergrænseflader</w:t>
      </w:r>
      <w:r>
        <w:t xml:space="preserve"> udgør altså både den grafiske og den tekniske grænseflade, der gør det muligt for almindelige brugere </w:t>
      </w:r>
      <w:r w:rsidR="00970BB7">
        <w:t xml:space="preserve">uden dybere teknisk viden </w:t>
      </w:r>
      <w:r>
        <w:t xml:space="preserve">at tilgå </w:t>
      </w:r>
      <w:proofErr w:type="spellStart"/>
      <w:r>
        <w:t>DeFi</w:t>
      </w:r>
      <w:proofErr w:type="spellEnd"/>
      <w:r>
        <w:t xml:space="preserve">-tjenester. </w:t>
      </w:r>
    </w:p>
    <w:p w14:paraId="705EED13" w14:textId="77777777" w:rsidR="00D449C3" w:rsidRDefault="00D449C3" w:rsidP="00D449C3"/>
    <w:p w14:paraId="04B9E7D8" w14:textId="18518CC1" w:rsidR="00D449C3" w:rsidRDefault="00D449C3" w:rsidP="00D449C3">
      <w:r>
        <w:t xml:space="preserve">Webbaserede brugergrænseflader er de mest almindelige og kan tilgås via webbrowsere som Chrome, Firefox eller Safari. </w:t>
      </w:r>
    </w:p>
    <w:p w14:paraId="6AFFF958" w14:textId="77777777" w:rsidR="00D449C3" w:rsidRDefault="00D449C3" w:rsidP="00D449C3"/>
    <w:p w14:paraId="790DA7CA" w14:textId="218F0DEE" w:rsidR="00D449C3" w:rsidRDefault="00D449C3" w:rsidP="00D449C3">
      <w:r>
        <w:t xml:space="preserve">Mange </w:t>
      </w:r>
      <w:proofErr w:type="spellStart"/>
      <w:r>
        <w:t>DeFi</w:t>
      </w:r>
      <w:proofErr w:type="spellEnd"/>
      <w:r>
        <w:t xml:space="preserve">-platforme har også udviklet mobilapps, der giver brugerne mulighed for at interagere med </w:t>
      </w:r>
      <w:proofErr w:type="spellStart"/>
      <w:r>
        <w:t>DeFi</w:t>
      </w:r>
      <w:proofErr w:type="spellEnd"/>
      <w:r>
        <w:t xml:space="preserve">-protokoller fra deres smartphones eller tablets. </w:t>
      </w:r>
      <w:r w:rsidR="00EA1C01">
        <w:t>B</w:t>
      </w:r>
      <w:r>
        <w:t xml:space="preserve">rugerne </w:t>
      </w:r>
      <w:r w:rsidR="00EA1C01">
        <w:t xml:space="preserve">får </w:t>
      </w:r>
      <w:r w:rsidR="008F3F48">
        <w:t>d</w:t>
      </w:r>
      <w:r w:rsidR="00EA1C01">
        <w:t xml:space="preserve">ermed </w:t>
      </w:r>
      <w:r>
        <w:t xml:space="preserve">en mere praktisk og brugervenlig oplevelse, </w:t>
      </w:r>
      <w:r w:rsidR="00EA1C01">
        <w:t xml:space="preserve">hvor </w:t>
      </w:r>
      <w:r>
        <w:t xml:space="preserve">de kan handle og administrere deres </w:t>
      </w:r>
      <w:proofErr w:type="spellStart"/>
      <w:r>
        <w:t>kryptoaktiver</w:t>
      </w:r>
      <w:proofErr w:type="spellEnd"/>
      <w:r>
        <w:t xml:space="preserve"> når som helst og hvor som helst. Det er de</w:t>
      </w:r>
      <w:r w:rsidR="008F3F48">
        <w:t>suden</w:t>
      </w:r>
      <w:r>
        <w:t xml:space="preserve"> muligt at bruge desktop-applikationer, </w:t>
      </w:r>
      <w:r w:rsidR="00DA663E">
        <w:t xml:space="preserve">som brugeren </w:t>
      </w:r>
      <w:r>
        <w:t>kan downloade og installere på s</w:t>
      </w:r>
      <w:r w:rsidR="00DA663E">
        <w:t>in</w:t>
      </w:r>
      <w:r>
        <w:t xml:space="preserve"> computer. Disse applikationer tilbyde</w:t>
      </w:r>
      <w:r w:rsidR="00EA1C01">
        <w:t>r</w:t>
      </w:r>
      <w:r>
        <w:t xml:space="preserve"> avancerede funktioner og en mere skræddersyet brugeroplevelse, men kræver ofte en større teknisk indsigt.</w:t>
      </w:r>
    </w:p>
    <w:p w14:paraId="1BEAF648" w14:textId="77777777" w:rsidR="00D449C3" w:rsidRDefault="00D449C3" w:rsidP="00D449C3"/>
    <w:p w14:paraId="1FF6F26A" w14:textId="52229D83" w:rsidR="00D449C3" w:rsidRDefault="00D449C3" w:rsidP="00D449C3">
      <w:r w:rsidRPr="00892830">
        <w:t>En hardware</w:t>
      </w:r>
      <w:r w:rsidR="00EA1C01">
        <w:t xml:space="preserve"> </w:t>
      </w:r>
      <w:proofErr w:type="spellStart"/>
      <w:r w:rsidRPr="00892830">
        <w:t>wallet</w:t>
      </w:r>
      <w:proofErr w:type="spellEnd"/>
      <w:r w:rsidRPr="00892830">
        <w:t xml:space="preserve"> </w:t>
      </w:r>
      <w:r>
        <w:t>består af en fysisk enhed, oftest i form af en harddrive eller USB-nøgle, som er</w:t>
      </w:r>
      <w:r w:rsidRPr="00892830">
        <w:t xml:space="preserve"> designet specifikt til sikker opbevaring af </w:t>
      </w:r>
      <w:proofErr w:type="spellStart"/>
      <w:r w:rsidRPr="00892830">
        <w:t>kryptoaktiver</w:t>
      </w:r>
      <w:proofErr w:type="spellEnd"/>
      <w:r>
        <w:t>.</w:t>
      </w:r>
      <w:r w:rsidRPr="00892830">
        <w:t xml:space="preserve"> Den adskiller sig fra andre typer </w:t>
      </w:r>
      <w:proofErr w:type="spellStart"/>
      <w:r w:rsidRPr="00892830">
        <w:t>kryptowallets</w:t>
      </w:r>
      <w:proofErr w:type="spellEnd"/>
      <w:r w:rsidRPr="00892830">
        <w:t>, såsom software</w:t>
      </w:r>
      <w:r w:rsidR="00EA1C01">
        <w:t xml:space="preserve"> </w:t>
      </w:r>
      <w:proofErr w:type="spellStart"/>
      <w:r w:rsidRPr="00892830">
        <w:t>wallets</w:t>
      </w:r>
      <w:proofErr w:type="spellEnd"/>
      <w:r w:rsidR="000A2F9B">
        <w:t xml:space="preserve">, </w:t>
      </w:r>
      <w:r w:rsidRPr="00892830">
        <w:t xml:space="preserve">ved at </w:t>
      </w:r>
      <w:r w:rsidR="008F3F48">
        <w:t>være</w:t>
      </w:r>
      <w:r w:rsidRPr="00892830">
        <w:t xml:space="preserve"> en dedikeret, isoleret enhed, der normalt ikke er forbundet til internettet. </w:t>
      </w:r>
      <w:r w:rsidR="007445B9">
        <w:t>Nogle</w:t>
      </w:r>
      <w:r>
        <w:t xml:space="preserve"> hardware</w:t>
      </w:r>
      <w:r w:rsidR="00EA1C01">
        <w:t xml:space="preserve"> </w:t>
      </w:r>
      <w:proofErr w:type="spellStart"/>
      <w:r>
        <w:t>wallets</w:t>
      </w:r>
      <w:proofErr w:type="spellEnd"/>
      <w:r>
        <w:t xml:space="preserve"> indeholder software, som tillader brugerne at kommunikere direkte med en række </w:t>
      </w:r>
      <w:proofErr w:type="spellStart"/>
      <w:r>
        <w:t>DeFi</w:t>
      </w:r>
      <w:proofErr w:type="spellEnd"/>
      <w:r>
        <w:t xml:space="preserve">-tjenester, </w:t>
      </w:r>
      <w:r w:rsidR="002855C8">
        <w:t>hvis</w:t>
      </w:r>
      <w:r>
        <w:t xml:space="preserve"> de bliver tilkoblet internettet.  </w:t>
      </w:r>
    </w:p>
    <w:p w14:paraId="59EF9A2C" w14:textId="77777777" w:rsidR="00E63E7F" w:rsidRDefault="00E63E7F" w:rsidP="00DD764B"/>
    <w:p w14:paraId="051686B6" w14:textId="0FD0E974" w:rsidR="005546F7" w:rsidRDefault="005546F7" w:rsidP="005546F7">
      <w:pPr>
        <w:pStyle w:val="Overskrift2"/>
      </w:pPr>
      <w:bookmarkStart w:id="19" w:name="_Toc170130149"/>
      <w:r>
        <w:t>Bilag 2</w:t>
      </w:r>
      <w:r w:rsidR="00FF3F63">
        <w:t xml:space="preserve"> </w:t>
      </w:r>
      <w:r w:rsidR="00EC5438">
        <w:t>–</w:t>
      </w:r>
      <w:r w:rsidR="00FF3F63">
        <w:t xml:space="preserve"> </w:t>
      </w:r>
      <w:proofErr w:type="spellStart"/>
      <w:r w:rsidR="00EC5438">
        <w:t>Kryptoaktiver</w:t>
      </w:r>
      <w:proofErr w:type="spellEnd"/>
      <w:r w:rsidR="00EC5438">
        <w:t xml:space="preserve"> og de regulerede aktiviteter</w:t>
      </w:r>
      <w:bookmarkEnd w:id="19"/>
    </w:p>
    <w:p w14:paraId="6D5831A7" w14:textId="77777777" w:rsidR="00E52FBF" w:rsidRDefault="00E52FBF" w:rsidP="00E52FBF">
      <w:proofErr w:type="spellStart"/>
      <w:r>
        <w:t>MiCA</w:t>
      </w:r>
      <w:proofErr w:type="spellEnd"/>
      <w:r>
        <w:t xml:space="preserve"> definerer et </w:t>
      </w:r>
      <w:proofErr w:type="spellStart"/>
      <w:r>
        <w:t>kryptoaktiv</w:t>
      </w:r>
      <w:proofErr w:type="spellEnd"/>
      <w:r>
        <w:t xml:space="preserve"> i artikel 3, stk. 1, nr. 5, som: </w:t>
      </w:r>
      <w:r w:rsidRPr="003A240A">
        <w:rPr>
          <w:i/>
          <w:iCs/>
        </w:rPr>
        <w:t xml:space="preserve">”en digital gengivelse af en værdi eller af en rettighed, som kan overføres og lagres elektronisk ved hjælp af </w:t>
      </w:r>
      <w:proofErr w:type="spellStart"/>
      <w:r w:rsidRPr="003A240A">
        <w:rPr>
          <w:i/>
          <w:iCs/>
        </w:rPr>
        <w:t>distributed</w:t>
      </w:r>
      <w:proofErr w:type="spellEnd"/>
      <w:r w:rsidRPr="003A240A">
        <w:rPr>
          <w:i/>
          <w:iCs/>
        </w:rPr>
        <w:t xml:space="preserve"> </w:t>
      </w:r>
      <w:proofErr w:type="spellStart"/>
      <w:r w:rsidRPr="003A240A">
        <w:rPr>
          <w:i/>
          <w:iCs/>
        </w:rPr>
        <w:t>ledger</w:t>
      </w:r>
      <w:proofErr w:type="spellEnd"/>
      <w:r w:rsidRPr="003A240A">
        <w:rPr>
          <w:i/>
          <w:iCs/>
        </w:rPr>
        <w:t>-teknologi eller lignende teknologi”</w:t>
      </w:r>
      <w:r>
        <w:t xml:space="preserve">. </w:t>
      </w:r>
    </w:p>
    <w:p w14:paraId="6B75CCC0" w14:textId="77777777" w:rsidR="00E52FBF" w:rsidRDefault="00E52FBF" w:rsidP="00E52FBF"/>
    <w:p w14:paraId="213CCFF9" w14:textId="21D1D0EA" w:rsidR="00E52FBF" w:rsidRDefault="00E52FBF" w:rsidP="00E52FBF">
      <w:r>
        <w:t xml:space="preserve">Helt grundlæggende er definitionen af et </w:t>
      </w:r>
      <w:proofErr w:type="spellStart"/>
      <w:r>
        <w:t>kryptoaktiv</w:t>
      </w:r>
      <w:proofErr w:type="spellEnd"/>
      <w:r>
        <w:t xml:space="preserve"> der</w:t>
      </w:r>
      <w:r w:rsidR="00B264B6">
        <w:t>med</w:t>
      </w:r>
      <w:r>
        <w:t xml:space="preserve"> bred, men bundet op på </w:t>
      </w:r>
      <w:r w:rsidR="00BF5E7C">
        <w:t>brugen</w:t>
      </w:r>
      <w:r>
        <w:t xml:space="preserve"> af DLT. På konventionelle blockchains kan </w:t>
      </w:r>
      <w:proofErr w:type="spellStart"/>
      <w:r>
        <w:t>kryptoaktiver</w:t>
      </w:r>
      <w:proofErr w:type="spellEnd"/>
      <w:r>
        <w:t xml:space="preserve"> opdeles i to grundlæggende kategorier</w:t>
      </w:r>
      <w:r w:rsidR="00BF5E7C">
        <w:t>:</w:t>
      </w:r>
      <w:r>
        <w:t xml:space="preserve"> protokol</w:t>
      </w:r>
      <w:r w:rsidR="000A2F9B">
        <w:t>-</w:t>
      </w:r>
      <w:proofErr w:type="spellStart"/>
      <w:r>
        <w:t>coins</w:t>
      </w:r>
      <w:proofErr w:type="spellEnd"/>
      <w:r>
        <w:t xml:space="preserve"> (</w:t>
      </w:r>
      <w:proofErr w:type="spellStart"/>
      <w:r>
        <w:t>coins</w:t>
      </w:r>
      <w:proofErr w:type="spellEnd"/>
      <w:r>
        <w:t xml:space="preserve">) og </w:t>
      </w:r>
      <w:proofErr w:type="spellStart"/>
      <w:r>
        <w:t>applikationstokens</w:t>
      </w:r>
      <w:proofErr w:type="spellEnd"/>
      <w:r>
        <w:t xml:space="preserve"> (</w:t>
      </w:r>
      <w:proofErr w:type="spellStart"/>
      <w:r>
        <w:t>tokens</w:t>
      </w:r>
      <w:proofErr w:type="spellEnd"/>
      <w:r>
        <w:t xml:space="preserve">). </w:t>
      </w:r>
    </w:p>
    <w:p w14:paraId="35033E6D" w14:textId="77777777" w:rsidR="00E52FBF" w:rsidRDefault="00E52FBF" w:rsidP="00E52FBF"/>
    <w:p w14:paraId="587EB390" w14:textId="687C8AD2" w:rsidR="00E52FBF" w:rsidRDefault="00E52FBF" w:rsidP="00E52FBF">
      <w:proofErr w:type="spellStart"/>
      <w:r>
        <w:t>Coins</w:t>
      </w:r>
      <w:proofErr w:type="spellEnd"/>
      <w:r>
        <w:t xml:space="preserve"> består af de </w:t>
      </w:r>
      <w:proofErr w:type="spellStart"/>
      <w:r>
        <w:t>kryptoaktiver</w:t>
      </w:r>
      <w:proofErr w:type="spellEnd"/>
      <w:r>
        <w:t xml:space="preserve">, som udgør </w:t>
      </w:r>
      <w:r w:rsidR="00D81E45">
        <w:t>DLT-systemets</w:t>
      </w:r>
      <w:r>
        <w:t xml:space="preserve"> iboende betalingsmiddel. Transaktionsomkostninger og andre økonomiske incitamenter </w:t>
      </w:r>
      <w:r w:rsidR="00BF5E7C">
        <w:t>bliver derfor også opgjort og betalt</w:t>
      </w:r>
      <w:r>
        <w:t xml:space="preserve"> med blockchainens </w:t>
      </w:r>
      <w:proofErr w:type="spellStart"/>
      <w:r>
        <w:t>coin</w:t>
      </w:r>
      <w:proofErr w:type="spellEnd"/>
      <w:r>
        <w:t xml:space="preserve">. </w:t>
      </w:r>
      <w:proofErr w:type="spellStart"/>
      <w:r>
        <w:t>Ether</w:t>
      </w:r>
      <w:proofErr w:type="spellEnd"/>
      <w:r>
        <w:t xml:space="preserve"> er f.eks. </w:t>
      </w:r>
      <w:proofErr w:type="spellStart"/>
      <w:r>
        <w:t>coinen</w:t>
      </w:r>
      <w:proofErr w:type="spellEnd"/>
      <w:r>
        <w:t xml:space="preserve"> på </w:t>
      </w:r>
      <w:proofErr w:type="spellStart"/>
      <w:r>
        <w:t>Ethereum</w:t>
      </w:r>
      <w:proofErr w:type="spellEnd"/>
      <w:r>
        <w:t xml:space="preserve">. Det følger af præambelbetragtning nr. 26 i </w:t>
      </w:r>
      <w:proofErr w:type="spellStart"/>
      <w:r>
        <w:t>MiCA</w:t>
      </w:r>
      <w:proofErr w:type="spellEnd"/>
      <w:r>
        <w:t xml:space="preserve">, at udstedelser og udbud af </w:t>
      </w:r>
      <w:proofErr w:type="spellStart"/>
      <w:r>
        <w:t>coins</w:t>
      </w:r>
      <w:proofErr w:type="spellEnd"/>
      <w:r>
        <w:t xml:space="preserve"> ikke er omfattet af forordningen, hvis de </w:t>
      </w:r>
      <w:r w:rsidRPr="005B6238">
        <w:t xml:space="preserve">genereres automatisk som </w:t>
      </w:r>
      <w:r>
        <w:t>led i driften af DLT-</w:t>
      </w:r>
      <w:r w:rsidR="007A53DC">
        <w:t>systemet</w:t>
      </w:r>
      <w:r>
        <w:t xml:space="preserve">. </w:t>
      </w:r>
      <w:r w:rsidR="00EE6313">
        <w:t xml:space="preserve"> </w:t>
      </w:r>
    </w:p>
    <w:p w14:paraId="0FBB7E99" w14:textId="77777777" w:rsidR="00E52FBF" w:rsidRDefault="00E52FBF" w:rsidP="00E52FBF"/>
    <w:p w14:paraId="46D99E7C" w14:textId="111210B2" w:rsidR="00D81E45" w:rsidRDefault="00D81E45" w:rsidP="00E52FBF">
      <w:r>
        <w:t>Den konventionelle blockchain</w:t>
      </w:r>
      <w:r w:rsidR="00E52FBF">
        <w:t xml:space="preserve"> understøtter også udstedelsen af </w:t>
      </w:r>
      <w:proofErr w:type="spellStart"/>
      <w:r w:rsidR="00E52FBF">
        <w:t>tokens</w:t>
      </w:r>
      <w:proofErr w:type="spellEnd"/>
      <w:r w:rsidR="008F3F48">
        <w:t xml:space="preserve">, som </w:t>
      </w:r>
      <w:r w:rsidR="00E52FBF">
        <w:t xml:space="preserve">bliver udstedt i applikationslaget i en blockchain. Udstedere af </w:t>
      </w:r>
      <w:proofErr w:type="spellStart"/>
      <w:r w:rsidR="00E52FBF">
        <w:t>tokens</w:t>
      </w:r>
      <w:proofErr w:type="spellEnd"/>
      <w:r w:rsidR="00E52FBF">
        <w:t xml:space="preserve"> kan selv definere</w:t>
      </w:r>
      <w:r w:rsidR="00372841">
        <w:t>,</w:t>
      </w:r>
      <w:r w:rsidR="00E52FBF">
        <w:t xml:space="preserve"> hvilke rettigheder der skal indlejres i </w:t>
      </w:r>
      <w:proofErr w:type="spellStart"/>
      <w:r w:rsidR="00E83A0D">
        <w:t>tokenen</w:t>
      </w:r>
      <w:proofErr w:type="spellEnd"/>
      <w:r w:rsidR="00E52FBF">
        <w:t xml:space="preserve">. Det er denne type </w:t>
      </w:r>
      <w:proofErr w:type="spellStart"/>
      <w:r w:rsidR="00E52FBF">
        <w:t>tokens</w:t>
      </w:r>
      <w:proofErr w:type="spellEnd"/>
      <w:r w:rsidR="00E52FBF">
        <w:t xml:space="preserve">, der kan </w:t>
      </w:r>
      <w:r w:rsidR="00372841">
        <w:t>brug</w:t>
      </w:r>
      <w:r w:rsidR="00E52FBF">
        <w:t xml:space="preserve">es til at udstede alt fra aktie- og obligationslignende instrumenter og såkaldte </w:t>
      </w:r>
      <w:proofErr w:type="spellStart"/>
      <w:r w:rsidR="00E52FBF">
        <w:t>stablecoins</w:t>
      </w:r>
      <w:proofErr w:type="spellEnd"/>
      <w:r w:rsidR="00E52FBF">
        <w:t xml:space="preserve"> til </w:t>
      </w:r>
      <w:proofErr w:type="spellStart"/>
      <w:r w:rsidR="00E52FBF">
        <w:t>tokens</w:t>
      </w:r>
      <w:proofErr w:type="spellEnd"/>
      <w:r w:rsidR="00E52FBF">
        <w:t xml:space="preserve"> med et mere praktisk formål, såsom koncertbilletter. </w:t>
      </w:r>
    </w:p>
    <w:p w14:paraId="4D98ECD1" w14:textId="77777777" w:rsidR="00D81E45" w:rsidRDefault="00D81E45" w:rsidP="00E52FBF"/>
    <w:p w14:paraId="1B1176EA" w14:textId="0EB8271C" w:rsidR="00E52FBF" w:rsidRDefault="00E52FBF" w:rsidP="00E52FBF">
      <w:proofErr w:type="spellStart"/>
      <w:r>
        <w:t>MiCA</w:t>
      </w:r>
      <w:proofErr w:type="spellEnd"/>
      <w:r>
        <w:t xml:space="preserve"> regulerer</w:t>
      </w:r>
      <w:r w:rsidR="008F3F48">
        <w:t>,</w:t>
      </w:r>
      <w:r w:rsidR="00F53125">
        <w:t xml:space="preserve"> med forbehold for</w:t>
      </w:r>
      <w:r w:rsidR="00EE6313">
        <w:t xml:space="preserve"> undtagelsen for fuld</w:t>
      </w:r>
      <w:r w:rsidR="005E72F9">
        <w:t>stændig</w:t>
      </w:r>
      <w:r w:rsidR="00EE6313">
        <w:t xml:space="preserve"> decentrale tjenester i</w:t>
      </w:r>
      <w:r w:rsidR="00F53125">
        <w:t xml:space="preserve"> præambelbetragtning 26 og </w:t>
      </w:r>
      <w:r>
        <w:t xml:space="preserve">med </w:t>
      </w:r>
      <w:r w:rsidR="00F53125">
        <w:t xml:space="preserve">visse </w:t>
      </w:r>
      <w:r>
        <w:t>undtagelser</w:t>
      </w:r>
      <w:r w:rsidR="00F53125">
        <w:t xml:space="preserve"> beskrevet i forordningens artikel 2</w:t>
      </w:r>
      <w:r w:rsidR="00372841">
        <w:t>,</w:t>
      </w:r>
      <w:r>
        <w:t xml:space="preserve"> </w:t>
      </w:r>
      <w:r w:rsidR="00F53125">
        <w:t xml:space="preserve">alle </w:t>
      </w:r>
      <w:r>
        <w:t xml:space="preserve">udstedelser og udbud af alle </w:t>
      </w:r>
      <w:proofErr w:type="spellStart"/>
      <w:r>
        <w:t>kryptoaktiver</w:t>
      </w:r>
      <w:proofErr w:type="spellEnd"/>
      <w:r w:rsidR="00F53125">
        <w:t>.</w:t>
      </w:r>
    </w:p>
    <w:p w14:paraId="28F61B69" w14:textId="77777777" w:rsidR="00EC5438" w:rsidRDefault="00EC5438" w:rsidP="00EC5438"/>
    <w:p w14:paraId="32DFC917" w14:textId="11218786" w:rsidR="00EC5438" w:rsidRDefault="00EC5438" w:rsidP="00EC5438">
      <w:pPr>
        <w:pStyle w:val="Overskrift3"/>
      </w:pPr>
      <w:r>
        <w:lastRenderedPageBreak/>
        <w:t>B2.</w:t>
      </w:r>
      <w:r w:rsidR="00B925FE">
        <w:t>1</w:t>
      </w:r>
      <w:r>
        <w:t xml:space="preserve">. Udstedere af </w:t>
      </w:r>
      <w:r w:rsidR="00177AB2">
        <w:t xml:space="preserve">såkaldte </w:t>
      </w:r>
      <w:proofErr w:type="spellStart"/>
      <w:r>
        <w:t>stablecoins</w:t>
      </w:r>
      <w:proofErr w:type="spellEnd"/>
    </w:p>
    <w:p w14:paraId="2B2D8842" w14:textId="4AFBD3F2" w:rsidR="00EC5438" w:rsidRDefault="00372841" w:rsidP="00EC5438">
      <w:proofErr w:type="spellStart"/>
      <w:r>
        <w:t>MiCA</w:t>
      </w:r>
      <w:proofErr w:type="spellEnd"/>
      <w:r>
        <w:t xml:space="preserve"> bruger </w:t>
      </w:r>
      <w:r w:rsidRPr="00415069">
        <w:t xml:space="preserve">ikke direkte </w:t>
      </w:r>
      <w:r>
        <w:t>b</w:t>
      </w:r>
      <w:r w:rsidR="00EC5438" w:rsidRPr="00415069">
        <w:t xml:space="preserve">egrebet </w:t>
      </w:r>
      <w:proofErr w:type="spellStart"/>
      <w:r w:rsidR="00EC5438" w:rsidRPr="00415069">
        <w:t>stablecoins</w:t>
      </w:r>
      <w:proofErr w:type="spellEnd"/>
      <w:r w:rsidR="00EC5438" w:rsidRPr="00415069">
        <w:t xml:space="preserve">. </w:t>
      </w:r>
      <w:r w:rsidR="00EC5438">
        <w:t xml:space="preserve">Forordningen </w:t>
      </w:r>
      <w:r w:rsidR="00EC5438" w:rsidRPr="00415069">
        <w:t xml:space="preserve">regulerer </w:t>
      </w:r>
      <w:r w:rsidR="005615B2">
        <w:t>derimod</w:t>
      </w:r>
      <w:r w:rsidR="00EC5438">
        <w:t xml:space="preserve"> </w:t>
      </w:r>
      <w:r w:rsidR="00EC5438" w:rsidRPr="00415069">
        <w:t xml:space="preserve">to former for </w:t>
      </w:r>
      <w:r w:rsidR="00EC5438">
        <w:t xml:space="preserve">udstedelser af </w:t>
      </w:r>
      <w:proofErr w:type="spellStart"/>
      <w:r w:rsidR="00EC5438" w:rsidRPr="00415069">
        <w:t>kryptoaktiver</w:t>
      </w:r>
      <w:proofErr w:type="spellEnd"/>
      <w:r w:rsidR="00EC5438" w:rsidRPr="00415069">
        <w:t xml:space="preserve">, der ofte refereres til som </w:t>
      </w:r>
      <w:proofErr w:type="spellStart"/>
      <w:r>
        <w:t>s</w:t>
      </w:r>
      <w:r w:rsidR="00EC5438" w:rsidRPr="00415069">
        <w:t>tablecoins</w:t>
      </w:r>
      <w:proofErr w:type="spellEnd"/>
      <w:r w:rsidR="00EC5438" w:rsidRPr="00415069">
        <w:t xml:space="preserve">. Disse to </w:t>
      </w:r>
      <w:r>
        <w:t>form</w:t>
      </w:r>
      <w:r w:rsidR="00EC5438" w:rsidRPr="00415069">
        <w:t xml:space="preserve">er </w:t>
      </w:r>
      <w:r w:rsidR="00EC5438">
        <w:t xml:space="preserve">klassificeres </w:t>
      </w:r>
      <w:r w:rsidR="00EC5438" w:rsidRPr="00415069">
        <w:t xml:space="preserve">som </w:t>
      </w:r>
      <w:r>
        <w:t xml:space="preserve">henholdsvis </w:t>
      </w:r>
      <w:r w:rsidR="00EC5438" w:rsidRPr="00415069">
        <w:t xml:space="preserve">aktivbaserede </w:t>
      </w:r>
      <w:proofErr w:type="spellStart"/>
      <w:r w:rsidR="00EC5438" w:rsidRPr="00415069">
        <w:t>tokens</w:t>
      </w:r>
      <w:proofErr w:type="spellEnd"/>
      <w:r w:rsidR="00EC5438" w:rsidRPr="00415069">
        <w:t xml:space="preserve"> </w:t>
      </w:r>
      <w:r w:rsidR="00EC5438">
        <w:t xml:space="preserve">(ART) </w:t>
      </w:r>
      <w:r w:rsidR="00EC5438" w:rsidRPr="00415069">
        <w:t xml:space="preserve">og elektroniske </w:t>
      </w:r>
      <w:proofErr w:type="spellStart"/>
      <w:r w:rsidR="00EC5438" w:rsidRPr="00415069">
        <w:t>pengetokens</w:t>
      </w:r>
      <w:proofErr w:type="spellEnd"/>
      <w:r w:rsidR="00EC5438">
        <w:t xml:space="preserve"> (EMT)</w:t>
      </w:r>
      <w:r w:rsidR="00EC5438" w:rsidRPr="00415069">
        <w:t xml:space="preserve">. </w:t>
      </w:r>
      <w:r w:rsidR="00EC5438">
        <w:t>B</w:t>
      </w:r>
      <w:r w:rsidR="00EC5438" w:rsidRPr="00415069">
        <w:t xml:space="preserve">egrebet </w:t>
      </w:r>
      <w:proofErr w:type="spellStart"/>
      <w:r w:rsidR="00EC5438" w:rsidRPr="00415069">
        <w:t>stablecoins</w:t>
      </w:r>
      <w:proofErr w:type="spellEnd"/>
      <w:r w:rsidR="00EC5438" w:rsidRPr="00415069">
        <w:t xml:space="preserve"> </w:t>
      </w:r>
      <w:r w:rsidR="008F3F48">
        <w:t>er dermed</w:t>
      </w:r>
      <w:r w:rsidR="00F53125">
        <w:t xml:space="preserve"> </w:t>
      </w:r>
      <w:r w:rsidR="00EC5438">
        <w:t>en samlebetegnelse for</w:t>
      </w:r>
      <w:r w:rsidR="00EC5438" w:rsidRPr="00415069">
        <w:t xml:space="preserve"> </w:t>
      </w:r>
      <w:r>
        <w:t>de to</w:t>
      </w:r>
      <w:r w:rsidR="00EC5438" w:rsidRPr="00415069">
        <w:t xml:space="preserve"> typer </w:t>
      </w:r>
      <w:proofErr w:type="spellStart"/>
      <w:r w:rsidR="00EC5438" w:rsidRPr="00415069">
        <w:t>kryptoaktiver</w:t>
      </w:r>
      <w:proofErr w:type="spellEnd"/>
      <w:r w:rsidR="00EC5438" w:rsidRPr="00415069">
        <w:t>.</w:t>
      </w:r>
    </w:p>
    <w:p w14:paraId="0CD11B41" w14:textId="77777777" w:rsidR="00EC5438" w:rsidRDefault="00EC5438" w:rsidP="00EC5438"/>
    <w:p w14:paraId="4D0F46D5" w14:textId="03A8CD88" w:rsidR="00EC5438" w:rsidRPr="00AD2C54" w:rsidRDefault="00EC5438" w:rsidP="00EC5438">
      <w:pPr>
        <w:rPr>
          <w:i/>
          <w:iCs/>
        </w:rPr>
      </w:pPr>
      <w:r>
        <w:t>A</w:t>
      </w:r>
      <w:r w:rsidRPr="00384F36">
        <w:t>ktivbasere</w:t>
      </w:r>
      <w:r>
        <w:t>de</w:t>
      </w:r>
      <w:r w:rsidRPr="00384F36">
        <w:t xml:space="preserve"> </w:t>
      </w:r>
      <w:proofErr w:type="spellStart"/>
      <w:r w:rsidRPr="00384F36">
        <w:t>token</w:t>
      </w:r>
      <w:r>
        <w:t>s</w:t>
      </w:r>
      <w:proofErr w:type="spellEnd"/>
      <w:r>
        <w:t xml:space="preserve"> bliver defineret i artikel 3, stk. 1, nr. 6, som </w:t>
      </w:r>
      <w:r w:rsidR="00645438">
        <w:t>”</w:t>
      </w:r>
      <w:r w:rsidRPr="00AD2C54">
        <w:rPr>
          <w:i/>
          <w:iCs/>
        </w:rPr>
        <w:t xml:space="preserve">en form for </w:t>
      </w:r>
      <w:proofErr w:type="spellStart"/>
      <w:r w:rsidRPr="00AD2C54">
        <w:rPr>
          <w:i/>
          <w:iCs/>
        </w:rPr>
        <w:t>kryptoaktiv</w:t>
      </w:r>
      <w:proofErr w:type="spellEnd"/>
      <w:r w:rsidRPr="00AD2C54">
        <w:rPr>
          <w:i/>
          <w:iCs/>
        </w:rPr>
        <w:t xml:space="preserve">, der ikke er en elektronisk </w:t>
      </w:r>
      <w:proofErr w:type="spellStart"/>
      <w:r w:rsidRPr="00AD2C54">
        <w:rPr>
          <w:i/>
          <w:iCs/>
        </w:rPr>
        <w:t>pengetoken</w:t>
      </w:r>
      <w:proofErr w:type="spellEnd"/>
      <w:r w:rsidRPr="00AD2C54">
        <w:rPr>
          <w:i/>
          <w:iCs/>
        </w:rPr>
        <w:t>, og som hævdes at bevare en stabil værdi ved at henvise til en anden værdi eller rettighed eller en kombination heraf, herunder en eller flere officielle valutaer</w:t>
      </w:r>
      <w:r w:rsidR="00645438">
        <w:rPr>
          <w:i/>
          <w:iCs/>
        </w:rPr>
        <w:t>”.</w:t>
      </w:r>
    </w:p>
    <w:p w14:paraId="5E1D3863" w14:textId="77777777" w:rsidR="00EC5438" w:rsidRDefault="00EC5438" w:rsidP="00EC5438"/>
    <w:p w14:paraId="22091418" w14:textId="2BFFD799" w:rsidR="00EC5438" w:rsidRDefault="00EC5438" w:rsidP="00EC5438">
      <w:proofErr w:type="spellStart"/>
      <w:r>
        <w:t>ART</w:t>
      </w:r>
      <w:r w:rsidR="00372841">
        <w:t>’er</w:t>
      </w:r>
      <w:proofErr w:type="spellEnd"/>
      <w:r>
        <w:t xml:space="preserve"> er </w:t>
      </w:r>
      <w:proofErr w:type="spellStart"/>
      <w:r>
        <w:t>kryptoaktiver</w:t>
      </w:r>
      <w:proofErr w:type="spellEnd"/>
      <w:r>
        <w:t xml:space="preserve">, </w:t>
      </w:r>
      <w:r w:rsidR="006B0AD3">
        <w:t xml:space="preserve">som </w:t>
      </w:r>
      <w:r>
        <w:t xml:space="preserve">udstedes med det formål at fastholde den samme værdi som et </w:t>
      </w:r>
      <w:r w:rsidR="005615B2">
        <w:t xml:space="preserve">foruddefineret </w:t>
      </w:r>
      <w:r>
        <w:t xml:space="preserve">underliggende aktiv (referenceaktiv), der ikke er en officiel valuta. Værdien fastholdes ved </w:t>
      </w:r>
      <w:r w:rsidR="006B0AD3">
        <w:t>hjælp</w:t>
      </w:r>
      <w:r>
        <w:t xml:space="preserve"> af en </w:t>
      </w:r>
      <w:r w:rsidR="005615B2">
        <w:t xml:space="preserve">såkaldt </w:t>
      </w:r>
      <w:r>
        <w:t xml:space="preserve">stabiliseringsmekanisme. En ART kan </w:t>
      </w:r>
      <w:r w:rsidR="005F2C8B">
        <w:t xml:space="preserve">f.eks. </w:t>
      </w:r>
      <w:r>
        <w:t xml:space="preserve">udstedes </w:t>
      </w:r>
      <w:r w:rsidR="005F2C8B">
        <w:t xml:space="preserve">med </w:t>
      </w:r>
      <w:r w:rsidR="00372841">
        <w:t xml:space="preserve">det </w:t>
      </w:r>
      <w:r w:rsidR="005F2C8B">
        <w:t>formål</w:t>
      </w:r>
      <w:r w:rsidR="00372841">
        <w:t xml:space="preserve"> </w:t>
      </w:r>
      <w:r>
        <w:t xml:space="preserve">at fastholde </w:t>
      </w:r>
      <w:r w:rsidRPr="00415069">
        <w:t xml:space="preserve">en stabil værdi i forhold til markedsprisen på </w:t>
      </w:r>
      <w:proofErr w:type="spellStart"/>
      <w:r>
        <w:t>Ether</w:t>
      </w:r>
      <w:proofErr w:type="spellEnd"/>
      <w:r w:rsidR="00AC0259">
        <w:t xml:space="preserve">, hvor </w:t>
      </w:r>
      <w:r w:rsidR="00BF7194">
        <w:t>v</w:t>
      </w:r>
      <w:r w:rsidR="005F2C8B">
        <w:t xml:space="preserve">ærdien stabileres </w:t>
      </w:r>
      <w:r w:rsidR="00AC0259">
        <w:t xml:space="preserve">gennem </w:t>
      </w:r>
      <w:r>
        <w:t>invester</w:t>
      </w:r>
      <w:r w:rsidR="00AC0259">
        <w:t xml:space="preserve">ing </w:t>
      </w:r>
      <w:r>
        <w:t xml:space="preserve">i en pulje af andre </w:t>
      </w:r>
      <w:proofErr w:type="spellStart"/>
      <w:r>
        <w:t>kryptoaktiver</w:t>
      </w:r>
      <w:proofErr w:type="spellEnd"/>
      <w:r>
        <w:t xml:space="preserve">, der tilsammen kan </w:t>
      </w:r>
      <w:r w:rsidR="000A2F9B">
        <w:t>replicere</w:t>
      </w:r>
      <w:r>
        <w:t xml:space="preserve"> værdien</w:t>
      </w:r>
      <w:r w:rsidR="005F2C8B">
        <w:t xml:space="preserve"> på </w:t>
      </w:r>
      <w:proofErr w:type="spellStart"/>
      <w:r w:rsidR="005F2C8B">
        <w:t>Ether</w:t>
      </w:r>
      <w:proofErr w:type="spellEnd"/>
      <w:r>
        <w:t xml:space="preserve">. </w:t>
      </w:r>
    </w:p>
    <w:p w14:paraId="5154A64C" w14:textId="77777777" w:rsidR="00EC5438" w:rsidRDefault="00EC5438" w:rsidP="00EC5438"/>
    <w:p w14:paraId="377C99B0" w14:textId="2C6EB572" w:rsidR="00EC5438" w:rsidRDefault="00EC5438" w:rsidP="00EC5438">
      <w:pPr>
        <w:rPr>
          <w:i/>
          <w:iCs/>
        </w:rPr>
      </w:pPr>
      <w:r>
        <w:t>Et e</w:t>
      </w:r>
      <w:r w:rsidRPr="00384F36">
        <w:t xml:space="preserve">lektronisk </w:t>
      </w:r>
      <w:proofErr w:type="spellStart"/>
      <w:r w:rsidRPr="00384F36">
        <w:t>pengetoken</w:t>
      </w:r>
      <w:proofErr w:type="spellEnd"/>
      <w:r w:rsidR="006B0AD3">
        <w:t>,</w:t>
      </w:r>
      <w:r w:rsidRPr="00384F36">
        <w:t xml:space="preserve"> eller </w:t>
      </w:r>
      <w:r w:rsidR="006B0AD3">
        <w:t xml:space="preserve">et </w:t>
      </w:r>
      <w:r w:rsidRPr="00384F36">
        <w:t>e-</w:t>
      </w:r>
      <w:proofErr w:type="spellStart"/>
      <w:r w:rsidRPr="00384F36">
        <w:t>pengetoken</w:t>
      </w:r>
      <w:proofErr w:type="spellEnd"/>
      <w:r w:rsidR="006B0AD3">
        <w:t>,</w:t>
      </w:r>
      <w:r>
        <w:t xml:space="preserve"> er defineret i artikel 3, stk. 1, nr. 7, som </w:t>
      </w:r>
      <w:r w:rsidR="00645438">
        <w:t>”</w:t>
      </w:r>
      <w:r w:rsidRPr="00543282">
        <w:rPr>
          <w:i/>
          <w:iCs/>
        </w:rPr>
        <w:t xml:space="preserve">en form for </w:t>
      </w:r>
      <w:proofErr w:type="spellStart"/>
      <w:r w:rsidRPr="00543282">
        <w:rPr>
          <w:i/>
          <w:iCs/>
        </w:rPr>
        <w:t>kryptoaktiv</w:t>
      </w:r>
      <w:proofErr w:type="spellEnd"/>
      <w:r w:rsidRPr="00543282">
        <w:rPr>
          <w:i/>
          <w:iCs/>
        </w:rPr>
        <w:t>, som hævdes at bevare en stabil værdi ved at henvise til værdien af en officiel valuta</w:t>
      </w:r>
      <w:r w:rsidR="00645438">
        <w:rPr>
          <w:i/>
          <w:iCs/>
        </w:rPr>
        <w:t>”</w:t>
      </w:r>
      <w:r>
        <w:rPr>
          <w:i/>
          <w:iCs/>
        </w:rPr>
        <w:t>.</w:t>
      </w:r>
    </w:p>
    <w:p w14:paraId="4220B3E1" w14:textId="77777777" w:rsidR="00EC5438" w:rsidRDefault="00EC5438" w:rsidP="00EC5438"/>
    <w:p w14:paraId="7BA18864" w14:textId="0AF2A785" w:rsidR="00EC5438" w:rsidRDefault="00EC5438" w:rsidP="00EC5438">
      <w:proofErr w:type="spellStart"/>
      <w:r>
        <w:t>EMT</w:t>
      </w:r>
      <w:r w:rsidR="00372841">
        <w:t>’er</w:t>
      </w:r>
      <w:proofErr w:type="spellEnd"/>
      <w:r>
        <w:t xml:space="preserve"> adskiller sig fra </w:t>
      </w:r>
      <w:proofErr w:type="spellStart"/>
      <w:r>
        <w:t>ART’er</w:t>
      </w:r>
      <w:proofErr w:type="spellEnd"/>
      <w:r>
        <w:t xml:space="preserve"> ved, at den værdi,</w:t>
      </w:r>
      <w:r w:rsidR="005615B2">
        <w:t xml:space="preserve"> som de hævdes at </w:t>
      </w:r>
      <w:r w:rsidR="004C0170">
        <w:t>fastholde</w:t>
      </w:r>
      <w:r w:rsidR="005615B2">
        <w:t xml:space="preserve"> stabil</w:t>
      </w:r>
      <w:r w:rsidR="004C0170">
        <w:t>itet</w:t>
      </w:r>
      <w:r w:rsidR="005615B2">
        <w:t xml:space="preserve"> overfor</w:t>
      </w:r>
      <w:r>
        <w:t>,</w:t>
      </w:r>
      <w:r w:rsidRPr="00415069">
        <w:t xml:space="preserve"> </w:t>
      </w:r>
      <w:r>
        <w:t>er</w:t>
      </w:r>
      <w:r w:rsidR="00E7469B">
        <w:t xml:space="preserve"> værdien på</w:t>
      </w:r>
      <w:r w:rsidRPr="00415069">
        <w:t xml:space="preserve"> en enkelt officiel valuta. </w:t>
      </w:r>
      <w:r w:rsidR="0047546F">
        <w:t>Hvis f</w:t>
      </w:r>
      <w:r>
        <w:t>ormål</w:t>
      </w:r>
      <w:r w:rsidR="0047546F">
        <w:t xml:space="preserve">et med udstedelsen er </w:t>
      </w:r>
      <w:r>
        <w:t xml:space="preserve">at opretholde </w:t>
      </w:r>
      <w:r w:rsidRPr="00415069">
        <w:t xml:space="preserve">en fast værdi i forhold til </w:t>
      </w:r>
      <w:r w:rsidR="005615B2">
        <w:t xml:space="preserve">f.eks. </w:t>
      </w:r>
      <w:r w:rsidRPr="00415069">
        <w:t xml:space="preserve">euroen, klassificeres </w:t>
      </w:r>
      <w:r w:rsidR="0047546F">
        <w:t xml:space="preserve">udstedelsen </w:t>
      </w:r>
      <w:r w:rsidRPr="00415069">
        <w:t>de</w:t>
      </w:r>
      <w:r>
        <w:t xml:space="preserve">rfor </w:t>
      </w:r>
      <w:r w:rsidRPr="00415069">
        <w:t>som e</w:t>
      </w:r>
      <w:r>
        <w:t>n EMT</w:t>
      </w:r>
      <w:r w:rsidRPr="00415069">
        <w:t>.</w:t>
      </w:r>
      <w:r>
        <w:t xml:space="preserve"> </w:t>
      </w:r>
      <w:r w:rsidR="004C0170">
        <w:t>U</w:t>
      </w:r>
      <w:r>
        <w:t>dstede</w:t>
      </w:r>
      <w:r w:rsidR="004C0170">
        <w:t>re</w:t>
      </w:r>
      <w:r>
        <w:t xml:space="preserve"> af </w:t>
      </w:r>
      <w:proofErr w:type="spellStart"/>
      <w:r>
        <w:t>EMT’er</w:t>
      </w:r>
      <w:proofErr w:type="spellEnd"/>
      <w:r>
        <w:t xml:space="preserve"> </w:t>
      </w:r>
      <w:r w:rsidR="006B0AD3">
        <w:t>er underlagt samme regulering</w:t>
      </w:r>
      <w:r w:rsidR="00372841">
        <w:t xml:space="preserve"> </w:t>
      </w:r>
      <w:r>
        <w:t xml:space="preserve">som </w:t>
      </w:r>
      <w:r w:rsidR="004C0170">
        <w:t xml:space="preserve">udstedere af </w:t>
      </w:r>
      <w:r>
        <w:t>traditionelle e-penge</w:t>
      </w:r>
      <w:r w:rsidR="00E7469B">
        <w:t xml:space="preserve">. </w:t>
      </w:r>
    </w:p>
    <w:p w14:paraId="7EFA535E" w14:textId="77777777" w:rsidR="00EC5438" w:rsidRDefault="00EC5438" w:rsidP="00EC5438"/>
    <w:p w14:paraId="645D44D7" w14:textId="008FBFB3" w:rsidR="00EC5438" w:rsidRDefault="00EC5438" w:rsidP="00EC5438">
      <w:proofErr w:type="spellStart"/>
      <w:r>
        <w:t>ART’er</w:t>
      </w:r>
      <w:proofErr w:type="spellEnd"/>
      <w:r>
        <w:t xml:space="preserve"> og </w:t>
      </w:r>
      <w:proofErr w:type="spellStart"/>
      <w:r>
        <w:t>EMT’er</w:t>
      </w:r>
      <w:proofErr w:type="spellEnd"/>
      <w:r>
        <w:t xml:space="preserve"> må efter </w:t>
      </w:r>
      <w:proofErr w:type="spellStart"/>
      <w:r>
        <w:t>MiCA</w:t>
      </w:r>
      <w:proofErr w:type="spellEnd"/>
      <w:r>
        <w:t xml:space="preserve"> kun udbydes, hvis udstederen har fået tilladelse </w:t>
      </w:r>
      <w:r w:rsidR="00372841">
        <w:t>til det</w:t>
      </w:r>
      <w:r>
        <w:t xml:space="preserve">. Tilladelsen medfører en række krav, </w:t>
      </w:r>
      <w:r w:rsidR="00372841">
        <w:t>på samme måde som det</w:t>
      </w:r>
      <w:r>
        <w:t xml:space="preserve"> </w:t>
      </w:r>
      <w:r w:rsidR="00372841">
        <w:t>gælder</w:t>
      </w:r>
      <w:r>
        <w:t xml:space="preserve"> for udbydere af </w:t>
      </w:r>
      <w:proofErr w:type="spellStart"/>
      <w:r>
        <w:t>kryptoaktivtjenester</w:t>
      </w:r>
      <w:proofErr w:type="spellEnd"/>
      <w:r>
        <w:t>, jf</w:t>
      </w:r>
      <w:r w:rsidR="00E7469B">
        <w:t>. bilag 2.3.</w:t>
      </w:r>
    </w:p>
    <w:p w14:paraId="127A5361" w14:textId="77777777" w:rsidR="00EC5438" w:rsidRDefault="00EC5438" w:rsidP="00EC5438"/>
    <w:p w14:paraId="68D0D9E2" w14:textId="48020818" w:rsidR="00B925FE" w:rsidRDefault="00EC5438" w:rsidP="00B925FE">
      <w:pPr>
        <w:pStyle w:val="Overskrift3"/>
      </w:pPr>
      <w:r>
        <w:t>B2.</w:t>
      </w:r>
      <w:r w:rsidR="00B925FE">
        <w:t>2</w:t>
      </w:r>
      <w:r>
        <w:t>.</w:t>
      </w:r>
      <w:r w:rsidR="00B925FE">
        <w:t xml:space="preserve"> Udstedere af andre </w:t>
      </w:r>
      <w:proofErr w:type="spellStart"/>
      <w:r w:rsidR="00B925FE">
        <w:t>kryptoaktiver</w:t>
      </w:r>
      <w:proofErr w:type="spellEnd"/>
    </w:p>
    <w:p w14:paraId="049F3B0D" w14:textId="1FD79750" w:rsidR="00B925FE" w:rsidRDefault="00B925FE" w:rsidP="00B925FE">
      <w:proofErr w:type="spellStart"/>
      <w:r w:rsidRPr="00CB5D65">
        <w:t>MiCA</w:t>
      </w:r>
      <w:proofErr w:type="spellEnd"/>
      <w:r w:rsidRPr="00CB5D65">
        <w:t xml:space="preserve"> </w:t>
      </w:r>
      <w:r>
        <w:t xml:space="preserve">regulerer </w:t>
      </w:r>
      <w:r w:rsidR="001F67BF">
        <w:t xml:space="preserve">også </w:t>
      </w:r>
      <w:r>
        <w:t xml:space="preserve">udbud og anmodning om optagelse til handel af </w:t>
      </w:r>
      <w:proofErr w:type="spellStart"/>
      <w:r>
        <w:t>tokens</w:t>
      </w:r>
      <w:proofErr w:type="spellEnd"/>
      <w:r>
        <w:t>, der ikke kan klassificeres som ART eller EMT</w:t>
      </w:r>
      <w:r w:rsidR="001F67BF">
        <w:t>. M</w:t>
      </w:r>
      <w:r>
        <w:t xml:space="preserve">odsat </w:t>
      </w:r>
      <w:r w:rsidR="002A0EB0">
        <w:t xml:space="preserve">det, der gælder for </w:t>
      </w:r>
      <w:proofErr w:type="spellStart"/>
      <w:r>
        <w:t>stablecoins</w:t>
      </w:r>
      <w:proofErr w:type="spellEnd"/>
      <w:r>
        <w:t xml:space="preserve">, bliver </w:t>
      </w:r>
      <w:r w:rsidR="001F67BF">
        <w:t xml:space="preserve">udbuddet </w:t>
      </w:r>
      <w:r>
        <w:t xml:space="preserve">af andre </w:t>
      </w:r>
      <w:proofErr w:type="spellStart"/>
      <w:r>
        <w:t>kryptoaktiver</w:t>
      </w:r>
      <w:proofErr w:type="spellEnd"/>
      <w:r>
        <w:t xml:space="preserve"> ikke underlagt tilladelseskrav i </w:t>
      </w:r>
      <w:proofErr w:type="spellStart"/>
      <w:r>
        <w:t>MiCA</w:t>
      </w:r>
      <w:proofErr w:type="spellEnd"/>
      <w:r>
        <w:t xml:space="preserve">. </w:t>
      </w:r>
      <w:r w:rsidR="002A0EB0">
        <w:t>Til gengæld skal d</w:t>
      </w:r>
      <w:r>
        <w:t xml:space="preserve">e opfylde kravene i afsnit II i </w:t>
      </w:r>
      <w:proofErr w:type="spellStart"/>
      <w:r>
        <w:t>MiCA</w:t>
      </w:r>
      <w:proofErr w:type="spellEnd"/>
      <w:r>
        <w:t>, hvis udstederen er identificerbar</w:t>
      </w:r>
      <w:r w:rsidR="002A0EB0">
        <w:t xml:space="preserve">. I modsat fald </w:t>
      </w:r>
      <w:r>
        <w:t xml:space="preserve">hviler forpligtigelserne </w:t>
      </w:r>
      <w:r w:rsidR="002A0EB0">
        <w:t xml:space="preserve">på </w:t>
      </w:r>
      <w:r>
        <w:t xml:space="preserve">de </w:t>
      </w:r>
      <w:proofErr w:type="spellStart"/>
      <w:r>
        <w:t>kryptoaktivtjenester</w:t>
      </w:r>
      <w:proofErr w:type="spellEnd"/>
      <w:r>
        <w:t xml:space="preserve">, som tilbyder deres kunder tjenester med de udstedte </w:t>
      </w:r>
      <w:proofErr w:type="spellStart"/>
      <w:r>
        <w:t>kryptoaktiver</w:t>
      </w:r>
      <w:proofErr w:type="spellEnd"/>
      <w:r>
        <w:t xml:space="preserve">. </w:t>
      </w:r>
    </w:p>
    <w:p w14:paraId="529610C4" w14:textId="77777777" w:rsidR="00B925FE" w:rsidRDefault="00B925FE" w:rsidP="00EC5438"/>
    <w:p w14:paraId="412408AA" w14:textId="58B82F50" w:rsidR="00EC5438" w:rsidRPr="00EC5438" w:rsidRDefault="00B925FE" w:rsidP="00B925FE">
      <w:pPr>
        <w:pStyle w:val="Overskrift3"/>
      </w:pPr>
      <w:r>
        <w:t xml:space="preserve">B2.3. Udbydere af </w:t>
      </w:r>
      <w:proofErr w:type="spellStart"/>
      <w:r>
        <w:t>kryptoaktivtjenester</w:t>
      </w:r>
      <w:proofErr w:type="spellEnd"/>
    </w:p>
    <w:p w14:paraId="2972AE94" w14:textId="16E60C11" w:rsidR="00B925FE" w:rsidRDefault="00B925FE" w:rsidP="00B925FE">
      <w:r>
        <w:t xml:space="preserve">Afsnit V i </w:t>
      </w:r>
      <w:proofErr w:type="spellStart"/>
      <w:r>
        <w:t>MiCA</w:t>
      </w:r>
      <w:proofErr w:type="spellEnd"/>
      <w:r>
        <w:t xml:space="preserve"> fastsætter de regulatoriske krav til udbydere af </w:t>
      </w:r>
      <w:proofErr w:type="spellStart"/>
      <w:r>
        <w:t>kryptoaktivtjenester</w:t>
      </w:r>
      <w:proofErr w:type="spellEnd"/>
      <w:r>
        <w:t>. Indretningen af forpligtelserne kan langt hen</w:t>
      </w:r>
      <w:r w:rsidR="00B264B6">
        <w:t xml:space="preserve"> </w:t>
      </w:r>
      <w:r>
        <w:t xml:space="preserve">ad vejen sidestilles med de regulatoriske krav, </w:t>
      </w:r>
      <w:r w:rsidR="002A0EB0">
        <w:t xml:space="preserve">som </w:t>
      </w:r>
      <w:r>
        <w:t>finansielle virksomheder</w:t>
      </w:r>
      <w:r w:rsidR="002A0EB0">
        <w:t xml:space="preserve"> som f.eks. betalingsinstitutter og fondsmæglerselskaber er underlagt</w:t>
      </w:r>
      <w:r w:rsidR="002A0EB0" w:rsidRPr="002A0EB0">
        <w:t xml:space="preserve"> </w:t>
      </w:r>
      <w:r w:rsidR="002A0EB0">
        <w:t>i dag</w:t>
      </w:r>
      <w:r w:rsidR="001F67BF">
        <w:t>. De</w:t>
      </w:r>
      <w:r w:rsidR="002A0EB0">
        <w:t>t</w:t>
      </w:r>
      <w:r w:rsidR="001F67BF">
        <w:t xml:space="preserve"> </w:t>
      </w:r>
      <w:r w:rsidR="002A0EB0">
        <w:t xml:space="preserve">gælder </w:t>
      </w:r>
      <w:r w:rsidR="001F67BF">
        <w:t>f.eks.</w:t>
      </w:r>
      <w:r>
        <w:t xml:space="preserve"> kapitalkrav, krav om god skik og </w:t>
      </w:r>
      <w:r w:rsidR="002A0EB0">
        <w:t xml:space="preserve">krav om </w:t>
      </w:r>
      <w:r>
        <w:t xml:space="preserve">forbruger- og investorbeskyttelse. </w:t>
      </w:r>
    </w:p>
    <w:p w14:paraId="2FA01EE3" w14:textId="77777777" w:rsidR="00B925FE" w:rsidRDefault="00B925FE" w:rsidP="00B925FE"/>
    <w:p w14:paraId="2CCDAA01" w14:textId="7547447D" w:rsidR="00B925FE" w:rsidRPr="00645438" w:rsidRDefault="00B925FE" w:rsidP="00B925FE">
      <w:r>
        <w:lastRenderedPageBreak/>
        <w:t xml:space="preserve">Udbydere af </w:t>
      </w:r>
      <w:proofErr w:type="spellStart"/>
      <w:r>
        <w:t>kryptoaktivtjenester</w:t>
      </w:r>
      <w:proofErr w:type="spellEnd"/>
      <w:r>
        <w:t xml:space="preserve"> defineres i artikel 3, stk. 15</w:t>
      </w:r>
      <w:r w:rsidR="002A0EB0">
        <w:t>,</w:t>
      </w:r>
      <w:r>
        <w:t xml:space="preserve"> som: </w:t>
      </w:r>
      <w:r>
        <w:rPr>
          <w:i/>
          <w:iCs/>
        </w:rPr>
        <w:t xml:space="preserve">”En </w:t>
      </w:r>
      <w:r w:rsidRPr="00F61DC6">
        <w:rPr>
          <w:i/>
          <w:iCs/>
        </w:rPr>
        <w:t xml:space="preserve">juridisk person eller en anden virksomhed, hvis erhverv eller forretning består i at levere en eller flere </w:t>
      </w:r>
      <w:proofErr w:type="spellStart"/>
      <w:r w:rsidRPr="00F61DC6">
        <w:rPr>
          <w:i/>
          <w:iCs/>
        </w:rPr>
        <w:t>kryptoaktivtjenester</w:t>
      </w:r>
      <w:proofErr w:type="spellEnd"/>
      <w:r w:rsidRPr="00F61DC6">
        <w:rPr>
          <w:i/>
          <w:iCs/>
        </w:rPr>
        <w:t xml:space="preserve"> til kunder på et erhvervsmæssigt grundlag, og som har tilladelse til at levere </w:t>
      </w:r>
      <w:proofErr w:type="spellStart"/>
      <w:r w:rsidRPr="00F61DC6">
        <w:rPr>
          <w:i/>
          <w:iCs/>
        </w:rPr>
        <w:t>kryptoaktivtjenester</w:t>
      </w:r>
      <w:proofErr w:type="spellEnd"/>
      <w:r w:rsidRPr="00F61DC6">
        <w:rPr>
          <w:i/>
          <w:iCs/>
        </w:rPr>
        <w:t xml:space="preserve"> i overensstemmelse med artikel 59</w:t>
      </w:r>
      <w:r>
        <w:rPr>
          <w:i/>
          <w:iCs/>
        </w:rPr>
        <w:t xml:space="preserve">.” </w:t>
      </w:r>
    </w:p>
    <w:p w14:paraId="68FFC366" w14:textId="77777777" w:rsidR="00B925FE" w:rsidRDefault="00B925FE" w:rsidP="00B925FE">
      <w:pPr>
        <w:rPr>
          <w:i/>
          <w:iCs/>
        </w:rPr>
      </w:pPr>
    </w:p>
    <w:p w14:paraId="36F8147E" w14:textId="334B0BAF" w:rsidR="00B925FE" w:rsidRDefault="00B925FE" w:rsidP="00B925FE">
      <w:r>
        <w:t>Forordningens artikel 3, stk. 6, begrænser desuden anvendelsesområde</w:t>
      </w:r>
      <w:r w:rsidR="00561F01">
        <w:t>t</w:t>
      </w:r>
      <w:r>
        <w:t xml:space="preserve"> til følgende aktiviteter: </w:t>
      </w:r>
    </w:p>
    <w:p w14:paraId="663709F3" w14:textId="77777777" w:rsidR="00B925FE" w:rsidRDefault="00B925FE" w:rsidP="00B925FE"/>
    <w:p w14:paraId="6885A9DC" w14:textId="377BFAE7"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Levering af deponering og administration af </w:t>
      </w:r>
      <w:proofErr w:type="spellStart"/>
      <w:r w:rsidRPr="00EA4852">
        <w:t>kryptoaktiver</w:t>
      </w:r>
      <w:proofErr w:type="spellEnd"/>
      <w:r w:rsidRPr="00EA4852">
        <w:t xml:space="preserve"> på kunders vegne</w:t>
      </w:r>
    </w:p>
    <w:p w14:paraId="6AD23D0D" w14:textId="2330C2CB"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Drift af en handelsplatform for </w:t>
      </w:r>
      <w:proofErr w:type="spellStart"/>
      <w:r w:rsidRPr="00EA4852">
        <w:t>kryptoaktiver</w:t>
      </w:r>
      <w:proofErr w:type="spellEnd"/>
    </w:p>
    <w:p w14:paraId="1E7D1DA7" w14:textId="22B13F01"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Veksling mellem </w:t>
      </w:r>
      <w:proofErr w:type="spellStart"/>
      <w:r w:rsidRPr="00EA4852">
        <w:t>kryptoaktiver</w:t>
      </w:r>
      <w:proofErr w:type="spellEnd"/>
      <w:r w:rsidRPr="00EA4852">
        <w:t xml:space="preserve"> og midler</w:t>
      </w:r>
    </w:p>
    <w:p w14:paraId="40E741F2" w14:textId="6C5E8E6C"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Veksling mellem </w:t>
      </w:r>
      <w:proofErr w:type="spellStart"/>
      <w:r w:rsidRPr="00EA4852">
        <w:t>kryptoaktiver</w:t>
      </w:r>
      <w:proofErr w:type="spellEnd"/>
      <w:r w:rsidRPr="00EA4852">
        <w:t xml:space="preserve"> og andre </w:t>
      </w:r>
      <w:proofErr w:type="spellStart"/>
      <w:r w:rsidRPr="00EA4852">
        <w:t>kryptoaktiver</w:t>
      </w:r>
      <w:proofErr w:type="spellEnd"/>
    </w:p>
    <w:p w14:paraId="02D9B630" w14:textId="1EDD6FCD"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Udførelse af ordrer vedrørende </w:t>
      </w:r>
      <w:proofErr w:type="spellStart"/>
      <w:r w:rsidRPr="00EA4852">
        <w:t>kryptoaktiver</w:t>
      </w:r>
      <w:proofErr w:type="spellEnd"/>
      <w:r w:rsidRPr="00EA4852">
        <w:t xml:space="preserve"> på vegne af kunder</w:t>
      </w:r>
    </w:p>
    <w:p w14:paraId="752EF7AC" w14:textId="29E805FF"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Placering af </w:t>
      </w:r>
      <w:proofErr w:type="spellStart"/>
      <w:r w:rsidRPr="00EA4852">
        <w:t>kryptoaktiver</w:t>
      </w:r>
      <w:proofErr w:type="spellEnd"/>
    </w:p>
    <w:p w14:paraId="25E07015" w14:textId="187425D9"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Modtagelse og formidling af ordrer vedrørende </w:t>
      </w:r>
      <w:proofErr w:type="spellStart"/>
      <w:r w:rsidRPr="00EA4852">
        <w:t>kryptoaktiver</w:t>
      </w:r>
      <w:proofErr w:type="spellEnd"/>
      <w:r w:rsidRPr="00EA4852">
        <w:t xml:space="preserve"> på vegne af kunder</w:t>
      </w:r>
    </w:p>
    <w:p w14:paraId="2E38A415" w14:textId="2477ADFE"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Rådgivning om </w:t>
      </w:r>
      <w:proofErr w:type="spellStart"/>
      <w:r w:rsidRPr="00EA4852">
        <w:t>kryptoaktiver</w:t>
      </w:r>
      <w:proofErr w:type="spellEnd"/>
    </w:p>
    <w:p w14:paraId="4DFB73EC" w14:textId="722EA1D4" w:rsidR="00B925FE" w:rsidRDefault="00B925FE" w:rsidP="00B925FE">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Porteføljepleje i forbindelse med </w:t>
      </w:r>
      <w:proofErr w:type="spellStart"/>
      <w:r w:rsidRPr="00EA4852">
        <w:t>kryptoaktiver</w:t>
      </w:r>
      <w:proofErr w:type="spellEnd"/>
    </w:p>
    <w:p w14:paraId="4C46A58B" w14:textId="4DFF3474" w:rsidR="00E63E7F" w:rsidRDefault="00B925FE" w:rsidP="009F7E22">
      <w:pPr>
        <w:pStyle w:val="Listeafsnit"/>
        <w:numPr>
          <w:ilvl w:val="0"/>
          <w:numId w:val="1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contextualSpacing/>
      </w:pPr>
      <w:r w:rsidRPr="00EA4852">
        <w:t xml:space="preserve">Levering af tjenester vedrørende overførsel af </w:t>
      </w:r>
      <w:proofErr w:type="spellStart"/>
      <w:r w:rsidRPr="00EA4852">
        <w:t>kryptoaktiver</w:t>
      </w:r>
      <w:proofErr w:type="spellEnd"/>
      <w:r w:rsidRPr="00EA4852">
        <w:t xml:space="preserve"> på vegne af kunder</w:t>
      </w:r>
      <w:r w:rsidR="00106D03">
        <w:t>.</w:t>
      </w:r>
    </w:p>
    <w:p w14:paraId="30BE3CBD" w14:textId="78418C28" w:rsidR="00D601D5" w:rsidRDefault="00D601D5" w:rsidP="00B867EF"/>
    <w:sectPr w:rsidR="00D601D5" w:rsidSect="00E66C2B">
      <w:footerReference w:type="default" r:id="rId18"/>
      <w:pgSz w:w="11906" w:h="16838"/>
      <w:pgMar w:top="1701" w:right="1701" w:bottom="170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6B31" w14:textId="77777777" w:rsidR="00A83379" w:rsidRDefault="00A83379" w:rsidP="00AC2FF1">
      <w:pPr>
        <w:spacing w:line="240" w:lineRule="auto"/>
      </w:pPr>
      <w:r>
        <w:separator/>
      </w:r>
    </w:p>
  </w:endnote>
  <w:endnote w:type="continuationSeparator" w:id="0">
    <w:p w14:paraId="7E309FED" w14:textId="77777777" w:rsidR="00A83379" w:rsidRDefault="00A83379" w:rsidP="00AC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4FD7" w14:textId="392B9D89" w:rsidR="006D660D" w:rsidRPr="00406B63" w:rsidRDefault="006D660D" w:rsidP="0034497B">
    <w:pPr>
      <w:pStyle w:val="Sidefod"/>
      <w:tabs>
        <w:tab w:val="clear" w:pos="567"/>
        <w:tab w:val="clear" w:pos="1134"/>
        <w:tab w:val="clear" w:pos="1701"/>
        <w:tab w:val="clear" w:pos="2268"/>
        <w:tab w:val="clear" w:pos="2835"/>
        <w:tab w:val="clear" w:pos="3402"/>
        <w:tab w:val="clear" w:pos="3969"/>
        <w:tab w:val="clear" w:pos="4536"/>
        <w:tab w:val="clear" w:pos="4819"/>
        <w:tab w:val="clear" w:pos="5103"/>
        <w:tab w:val="clear" w:pos="5670"/>
        <w:tab w:val="clear" w:pos="6237"/>
        <w:tab w:val="clear" w:pos="6804"/>
        <w:tab w:val="right" w:pos="8505"/>
      </w:tabs>
      <w:jc w:val="left"/>
      <w:rPr>
        <w:rFonts w:cs="Arial"/>
        <w:sz w:val="20"/>
        <w:szCs w:val="20"/>
      </w:rPr>
    </w:pPr>
    <w:bookmarkStart w:id="20" w:name="artikel_fodnote"/>
    <w:bookmarkEnd w:id="20"/>
    <w:r w:rsidRPr="00406B63">
      <w:rPr>
        <w:rFonts w:cs="Arial"/>
        <w:sz w:val="20"/>
        <w:szCs w:val="20"/>
      </w:rPr>
      <w:t xml:space="preserve"> </w:t>
    </w:r>
    <w:bookmarkStart w:id="21" w:name="aar_fodnote"/>
    <w:bookmarkStart w:id="22" w:name="type_fodnote"/>
    <w:bookmarkEnd w:id="21"/>
    <w:bookmarkEnd w:id="22"/>
    <w:r w:rsidRPr="00406B63">
      <w:rPr>
        <w:rFonts w:cs="Arial"/>
        <w:sz w:val="20"/>
        <w:szCs w:val="20"/>
      </w:rPr>
      <w:tab/>
    </w:r>
    <w:r w:rsidR="00907EE1" w:rsidRPr="00406B63">
      <w:rPr>
        <w:rFonts w:cs="Arial"/>
        <w:sz w:val="20"/>
        <w:szCs w:val="20"/>
      </w:rPr>
      <w:fldChar w:fldCharType="begin"/>
    </w:r>
    <w:r w:rsidRPr="00406B63">
      <w:rPr>
        <w:rFonts w:cs="Arial"/>
        <w:sz w:val="20"/>
        <w:szCs w:val="20"/>
      </w:rPr>
      <w:instrText xml:space="preserve"> PAGE   \* MERGEFORMAT </w:instrText>
    </w:r>
    <w:r w:rsidR="00907EE1" w:rsidRPr="00406B63">
      <w:rPr>
        <w:rFonts w:cs="Arial"/>
        <w:sz w:val="20"/>
        <w:szCs w:val="20"/>
      </w:rPr>
      <w:fldChar w:fldCharType="separate"/>
    </w:r>
    <w:r w:rsidR="00630913">
      <w:rPr>
        <w:rFonts w:cs="Arial"/>
        <w:noProof/>
        <w:sz w:val="20"/>
        <w:szCs w:val="20"/>
      </w:rPr>
      <w:t>3</w:t>
    </w:r>
    <w:r w:rsidR="00907EE1" w:rsidRPr="00406B63">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5FF6" w14:textId="77777777" w:rsidR="00A83379" w:rsidRDefault="00A83379" w:rsidP="00AC2FF1">
      <w:pPr>
        <w:spacing w:line="240" w:lineRule="auto"/>
      </w:pPr>
      <w:r>
        <w:separator/>
      </w:r>
    </w:p>
  </w:footnote>
  <w:footnote w:type="continuationSeparator" w:id="0">
    <w:p w14:paraId="1B787F00" w14:textId="77777777" w:rsidR="00A83379" w:rsidRDefault="00A83379" w:rsidP="00AC2FF1">
      <w:pPr>
        <w:spacing w:line="240" w:lineRule="auto"/>
      </w:pPr>
      <w:r>
        <w:continuationSeparator/>
      </w:r>
    </w:p>
  </w:footnote>
  <w:footnote w:id="1">
    <w:p w14:paraId="1EAE2F20" w14:textId="77777777" w:rsidR="00127283" w:rsidRDefault="00127283" w:rsidP="00127283">
      <w:pPr>
        <w:pStyle w:val="Fodnotetekst"/>
      </w:pPr>
      <w:r>
        <w:rPr>
          <w:rStyle w:val="Fodnotehenvisning"/>
        </w:rPr>
        <w:footnoteRef/>
      </w:r>
      <w:r>
        <w:t xml:space="preserve"> Begrebet ”konventionelle blockchains”, som bruges i denne orientering, er nærmere defineret i afsnit 3 og bilag 1.  </w:t>
      </w:r>
    </w:p>
  </w:footnote>
  <w:footnote w:id="2">
    <w:p w14:paraId="3EFF1440" w14:textId="5B0B1193" w:rsidR="00A627F0" w:rsidRDefault="00A627F0">
      <w:pPr>
        <w:pStyle w:val="Fodnotetekst"/>
      </w:pPr>
      <w:r>
        <w:rPr>
          <w:rStyle w:val="Fodnotehenvisning"/>
        </w:rPr>
        <w:footnoteRef/>
      </w:r>
      <w:r>
        <w:t xml:space="preserve"> </w:t>
      </w:r>
      <w:r w:rsidRPr="00EA4852">
        <w:t>Europa-Parlamentets og Rådets direktiv 2014/65/EU af 15. maj 2014.</w:t>
      </w:r>
    </w:p>
  </w:footnote>
  <w:footnote w:id="3">
    <w:p w14:paraId="465B6DA0" w14:textId="77777777" w:rsidR="00C91A5E" w:rsidRDefault="00C91A5E" w:rsidP="00C91A5E">
      <w:pPr>
        <w:pStyle w:val="Fodnotetekst"/>
      </w:pPr>
      <w:r>
        <w:rPr>
          <w:rStyle w:val="Fodnotehenvisning"/>
        </w:rPr>
        <w:footnoteRef/>
      </w:r>
      <w:r>
        <w:t xml:space="preserve"> En handelsplatform er defineret i artikel 3, stk. 1, nr. 18 i MiCA som: ”</w:t>
      </w:r>
      <w:r w:rsidRPr="001F3B64">
        <w:rPr>
          <w:i/>
          <w:iCs/>
        </w:rPr>
        <w:t xml:space="preserve">forvaltning af et eller flere multilaterale systemer, som inden for systemet under iagttagelse af sine regler </w:t>
      </w:r>
      <w:r w:rsidRPr="00D23F99">
        <w:rPr>
          <w:i/>
          <w:iCs/>
        </w:rPr>
        <w:t>sætter forskellige tredjeparters købs- og salgsinteresser i kryptoaktiver i forbindelse med hinanden eller befordrer dette på en sådan måde, at det medfører indgåelse af en aftale,</w:t>
      </w:r>
      <w:r w:rsidRPr="001F3B64">
        <w:rPr>
          <w:i/>
          <w:iCs/>
        </w:rPr>
        <w:t xml:space="preserve"> enten ved at veksle mellem kryptoaktiver og midler eller ved veksling mellem et kryptoaktiv og et andet kryptoaktiv</w:t>
      </w:r>
      <w:r>
        <w:t>”</w:t>
      </w:r>
    </w:p>
  </w:footnote>
  <w:footnote w:id="4">
    <w:p w14:paraId="3C8966D2" w14:textId="2025684E" w:rsidR="00C91A5E" w:rsidRDefault="00C91A5E" w:rsidP="00C91A5E">
      <w:pPr>
        <w:pStyle w:val="Fodnotetekst"/>
      </w:pPr>
      <w:r>
        <w:rPr>
          <w:rStyle w:val="Fodnotehenvisning"/>
        </w:rPr>
        <w:footnoteRef/>
      </w:r>
      <w:r>
        <w:t xml:space="preserve"> </w:t>
      </w:r>
      <w:r w:rsidRPr="00EA4852">
        <w:t>En AMM stiller likviditet til rådighed gennem såkaldte likviditetspuljer. I disse puljer kan likviditetsstillere deponere deres aktiver mod rett</w:t>
      </w:r>
      <w:r w:rsidR="00CD3803">
        <w:t>en</w:t>
      </w:r>
      <w:r w:rsidRPr="00EA4852">
        <w:t xml:space="preserve"> til en samlet andel af puljens aktiver</w:t>
      </w:r>
      <w:r>
        <w:t xml:space="preserve"> og </w:t>
      </w:r>
      <w:r w:rsidRPr="00EA4852">
        <w:t>rett</w:t>
      </w:r>
      <w:r w:rsidR="00CD3803">
        <w:t>en</w:t>
      </w:r>
      <w:r w:rsidRPr="00EA4852">
        <w:t xml:space="preserve"> til at modtage et handelsgebyr. En likviditetspulje er også styret gennem brugen af smartkontrakter, hvori der </w:t>
      </w:r>
      <w:r>
        <w:t xml:space="preserve">er </w:t>
      </w:r>
      <w:r w:rsidRPr="00EA4852">
        <w:t>fast</w:t>
      </w:r>
      <w:r>
        <w:t>sat</w:t>
      </w:r>
      <w:r w:rsidRPr="00EA4852">
        <w:t xml:space="preserve"> en logik for prisstilling af de inkluderede aktiver i puljen.</w:t>
      </w:r>
    </w:p>
  </w:footnote>
  <w:footnote w:id="5">
    <w:p w14:paraId="406BDD8E" w14:textId="2C8EA876" w:rsidR="002B387D" w:rsidRDefault="002B387D">
      <w:pPr>
        <w:pStyle w:val="Fodnotetekst"/>
      </w:pPr>
      <w:r>
        <w:rPr>
          <w:rStyle w:val="Fodnotehenvisning"/>
        </w:rPr>
        <w:footnoteRef/>
      </w:r>
      <w:r>
        <w:t xml:space="preserve"> </w:t>
      </w:r>
      <w:r w:rsidR="006B5429">
        <w:t>V</w:t>
      </w:r>
      <w:r>
        <w:t>urdering</w:t>
      </w:r>
      <w:r w:rsidR="006B5429">
        <w:t>en</w:t>
      </w:r>
      <w:r>
        <w:t xml:space="preserve"> bør </w:t>
      </w:r>
      <w:r w:rsidRPr="002B387D">
        <w:t xml:space="preserve">grundlæggende forholde sig til, om samvirke har en sådan karakter og er </w:t>
      </w:r>
      <w:r w:rsidR="006B5429">
        <w:t>tilstrækkeligt</w:t>
      </w:r>
      <w:r w:rsidRPr="002B387D">
        <w:t xml:space="preserve"> forpligtende</w:t>
      </w:r>
      <w:r w:rsidR="006B5429">
        <w:t xml:space="preserve"> til</w:t>
      </w:r>
      <w:r w:rsidRPr="002B387D">
        <w:t xml:space="preserve">, at fællesskabet selvstændigt kan anses som et retssubjekt. Et samvirke, hvor flere aktører interagerer i fællesskab, uden at der </w:t>
      </w:r>
      <w:r w:rsidR="006B5429">
        <w:t>er tale om</w:t>
      </w:r>
      <w:r w:rsidRPr="002B387D">
        <w:t xml:space="preserve"> en form for organisatorisk fællesskab, der rækker ud over det interne forhold mellem aktørerne, vil formodentligt ikke være tilstrækkeligt. </w:t>
      </w:r>
    </w:p>
  </w:footnote>
  <w:footnote w:id="6">
    <w:p w14:paraId="08A902C0" w14:textId="5857B970" w:rsidR="00A97D90" w:rsidRDefault="00A97D90" w:rsidP="00A97D90">
      <w:pPr>
        <w:pStyle w:val="Fodnotetekst"/>
      </w:pPr>
      <w:r>
        <w:rPr>
          <w:rStyle w:val="Fodnotehenvisning"/>
        </w:rPr>
        <w:footnoteRef/>
      </w:r>
      <w:r>
        <w:t xml:space="preserve"> </w:t>
      </w:r>
      <w:r w:rsidR="00945957" w:rsidRPr="00945957">
        <w:t>jf. bemærkningerne til §§ 29-40 i Aftaleloven, jf. Rigsdagstidende 1916-17, tillæg A, spalte 2759-2813.</w:t>
      </w:r>
    </w:p>
  </w:footnote>
  <w:footnote w:id="7">
    <w:p w14:paraId="7320108F" w14:textId="66C6109B" w:rsidR="006B3DD7" w:rsidRPr="00EA4852" w:rsidRDefault="006B3DD7" w:rsidP="006B3DD7">
      <w:pPr>
        <w:pStyle w:val="Fodnotetekst"/>
      </w:pPr>
      <w:r w:rsidRPr="00EA4852">
        <w:rPr>
          <w:rStyle w:val="Fodnotehenvisning"/>
        </w:rPr>
        <w:footnoteRef/>
      </w:r>
      <w:r w:rsidRPr="00EA4852">
        <w:t xml:space="preserve"> Et oracle er en off-chain</w:t>
      </w:r>
      <w:r>
        <w:t>-</w:t>
      </w:r>
      <w:r w:rsidRPr="00EA4852">
        <w:t xml:space="preserve">datakilde, som giver input til en smartkontrakt. </w:t>
      </w:r>
    </w:p>
  </w:footnote>
  <w:footnote w:id="8">
    <w:p w14:paraId="61DF121B" w14:textId="623E85BE" w:rsidR="005705D9" w:rsidRPr="00EA4852" w:rsidRDefault="005705D9" w:rsidP="005705D9">
      <w:pPr>
        <w:pStyle w:val="Fodnotetekst"/>
      </w:pPr>
      <w:r w:rsidRPr="00EA4852">
        <w:rPr>
          <w:rStyle w:val="Fodnotehenvisning"/>
        </w:rPr>
        <w:footnoteRef/>
      </w:r>
      <w:r w:rsidRPr="00EA4852">
        <w:t xml:space="preserve"> Deraf følger problemstillingen ved, at decentrale finansielle tjenesteydelser udstedt i </w:t>
      </w:r>
      <w:r w:rsidR="00977373">
        <w:t xml:space="preserve">konventionelle blockchains </w:t>
      </w:r>
      <w:r w:rsidRPr="00EA4852">
        <w:t>hverken kan slettes eller sættes ud af drift</w:t>
      </w:r>
      <w:r w:rsidR="00977373">
        <w:t>. Finanstilsynet forholder sig ikke nærmere hertil i denne orientering.</w:t>
      </w:r>
    </w:p>
  </w:footnote>
  <w:footnote w:id="9">
    <w:p w14:paraId="7F94A483" w14:textId="77777777" w:rsidR="00505173" w:rsidRPr="00EA4852" w:rsidRDefault="00505173" w:rsidP="00505173">
      <w:pPr>
        <w:pStyle w:val="Fodnotetekst"/>
      </w:pPr>
      <w:r w:rsidRPr="00EA4852">
        <w:rPr>
          <w:rStyle w:val="Fodnotehenvisning"/>
        </w:rPr>
        <w:footnoteRef/>
      </w:r>
      <w:r>
        <w:rPr>
          <w:rFonts w:eastAsia="Arial" w:cs="Arial"/>
          <w:color w:val="000000"/>
          <w:szCs w:val="16"/>
        </w:rPr>
        <w:t xml:space="preserve"> </w:t>
      </w:r>
      <w:hyperlink r:id="rId1">
        <w:r>
          <w:rPr>
            <w:rFonts w:eastAsia="Arial" w:cs="Arial"/>
            <w:color w:val="990000"/>
            <w:szCs w:val="16"/>
            <w:u w:val="single"/>
          </w:rPr>
          <w:t>https://www.bis.org/publ/qtrpdf/r_qt2003i.htm</w:t>
        </w:r>
      </w:hyperlink>
    </w:p>
  </w:footnote>
  <w:footnote w:id="10">
    <w:p w14:paraId="047838A5" w14:textId="77777777" w:rsidR="00505173" w:rsidRDefault="00505173" w:rsidP="00505173">
      <w:pPr>
        <w:pStyle w:val="Fodnotetekst"/>
      </w:pPr>
      <w:r>
        <w:rPr>
          <w:rStyle w:val="Fodnotehenvisning"/>
        </w:rPr>
        <w:footnoteRef/>
      </w:r>
      <w:r>
        <w:t xml:space="preserve"> </w:t>
      </w:r>
      <w:r w:rsidRPr="00B379B1">
        <w:t xml:space="preserve">Barrieren for at deltage i driften af et permissionless DLT-system er derfor lavere, hvilket kan tale for decentralitet. I praksis er det dog muligt, at den samme person deltager i driften med flere forskellige pseudonymer og dermed besidder mere betydelige beslutningskompetencer.  </w:t>
      </w:r>
    </w:p>
  </w:footnote>
  <w:footnote w:id="11">
    <w:p w14:paraId="1D0791A2" w14:textId="060BD0B8" w:rsidR="00DD1C7E" w:rsidRDefault="00DD1C7E" w:rsidP="00DD1C7E">
      <w:pPr>
        <w:pStyle w:val="Fodnotetekst"/>
      </w:pPr>
      <w:r>
        <w:rPr>
          <w:rStyle w:val="Fodnotehenvisning"/>
        </w:rPr>
        <w:footnoteRef/>
      </w:r>
      <w:r>
        <w:t xml:space="preserve"> </w:t>
      </w:r>
      <w:r w:rsidRPr="00215F0D">
        <w:t xml:space="preserve">Deltagende netknudepunkters bidrag til driften kan </w:t>
      </w:r>
      <w:r>
        <w:t>f.eks.</w:t>
      </w:r>
      <w:r w:rsidRPr="00215F0D">
        <w:t xml:space="preserve"> begrænses til e</w:t>
      </w:r>
      <w:r>
        <w:t>n</w:t>
      </w:r>
      <w:r w:rsidRPr="00215F0D">
        <w:t xml:space="preserve"> </w:t>
      </w:r>
      <w:r>
        <w:t xml:space="preserve">delmængde af </w:t>
      </w:r>
      <w:r w:rsidRPr="00215F0D">
        <w:t>den samlede hovedbog</w:t>
      </w:r>
      <w:r>
        <w:t xml:space="preserve"> (et fragment)</w:t>
      </w:r>
      <w:r w:rsidRPr="00215F0D">
        <w:t>. Fragmentering af hovedbogen kan have forskellige formål. Det kan være en fragmentering af det fulde datasæt</w:t>
      </w:r>
      <w:r w:rsidR="0052660B">
        <w:t>,</w:t>
      </w:r>
      <w:r w:rsidRPr="00215F0D">
        <w:t xml:space="preserve"> udelukkende med det formål at øge latenshastigheden i systemet. Fragmenteringen kan også være mere funktionelt fokuseret. </w:t>
      </w:r>
      <w:r>
        <w:t xml:space="preserve">En </w:t>
      </w:r>
      <w:r w:rsidRPr="00215F0D">
        <w:t>FT Lab</w:t>
      </w:r>
      <w:r w:rsidR="0052660B">
        <w:t>-</w:t>
      </w:r>
      <w:r w:rsidRPr="00215F0D">
        <w:t>test af et DLT-basere</w:t>
      </w:r>
      <w:r>
        <w:t>t</w:t>
      </w:r>
      <w:r w:rsidRPr="00215F0D">
        <w:t xml:space="preserve"> værdipapirhandelssystem</w:t>
      </w:r>
      <w:r>
        <w:t xml:space="preserve"> viste f.eks.,</w:t>
      </w:r>
      <w:r w:rsidRPr="00215F0D">
        <w:t xml:space="preserve"> at klynger af netknudepunkter kan </w:t>
      </w:r>
      <w:r>
        <w:t>begrænses til at behandle de fragmenter af data, der er nødvendige for at udføre en given funktion for systemet som helhed</w:t>
      </w:r>
      <w:r w:rsidRPr="00215F0D">
        <w:t>.</w:t>
      </w:r>
    </w:p>
  </w:footnote>
  <w:footnote w:id="12">
    <w:p w14:paraId="65B6E5ED" w14:textId="77777777" w:rsidR="00003EE0" w:rsidRPr="008C10EC" w:rsidRDefault="00003EE0" w:rsidP="00003EE0">
      <w:pPr>
        <w:pStyle w:val="Fodnotetekst"/>
      </w:pPr>
      <w:r>
        <w:rPr>
          <w:rStyle w:val="Fodnotehenvisning"/>
        </w:rPr>
        <w:footnoteRef/>
      </w:r>
      <w:r>
        <w:t xml:space="preserve"> Bemærk, at der dermed skelnes fra adgangskriterier indbygget i smartkontrakternes programmering og dermed vurderingen af autonomiteten af de anvendte smartkontrakter, jf. afsnit 5.1.1.  </w:t>
      </w:r>
    </w:p>
  </w:footnote>
  <w:footnote w:id="13">
    <w:p w14:paraId="2D9FDDFD" w14:textId="77777777" w:rsidR="00790A9E" w:rsidRPr="00B305AF" w:rsidRDefault="00790A9E" w:rsidP="00790A9E">
      <w:pPr>
        <w:pStyle w:val="Fodnotetekst"/>
      </w:pPr>
      <w:r>
        <w:rPr>
          <w:rStyle w:val="Fodnotehenvisning"/>
        </w:rPr>
        <w:footnoteRef/>
      </w:r>
      <w:r w:rsidRPr="00B305AF">
        <w:t xml:space="preserve"> Christian Sarcuni, et al v. bZx DAO, et al (Case No.: 22-cv-618-LAB-DEB)</w:t>
      </w:r>
    </w:p>
  </w:footnote>
  <w:footnote w:id="14">
    <w:p w14:paraId="5FC67C2B" w14:textId="77783D62" w:rsidR="00273EE7" w:rsidRPr="00EA4852" w:rsidRDefault="00273EE7" w:rsidP="008F1392">
      <w:pPr>
        <w:pStyle w:val="Fodnotetekst"/>
      </w:pPr>
      <w:r w:rsidRPr="00EA4852">
        <w:rPr>
          <w:rStyle w:val="Fodnotehenvisning"/>
        </w:rPr>
        <w:footnoteRef/>
      </w:r>
      <w:r w:rsidR="008F1392">
        <w:rPr>
          <w:rFonts w:eastAsia="Arial" w:cs="Arial"/>
          <w:color w:val="000000"/>
          <w:szCs w:val="16"/>
        </w:rPr>
        <w:t xml:space="preserve"> Finanstilsynets orientering: ”</w:t>
      </w:r>
      <w:r w:rsidR="008F1392" w:rsidRPr="008F1392">
        <w:rPr>
          <w:rFonts w:eastAsia="Arial" w:cs="Arial"/>
          <w:color w:val="000000"/>
          <w:szCs w:val="16"/>
        </w:rPr>
        <w:t>DLT skaber nye muligheder for infrastrukturen på kapitalmarkederne, og den nye DLT-pilotforordning kan hjælpe teknologien på vej</w:t>
      </w:r>
      <w:r w:rsidR="008F1392">
        <w:rPr>
          <w:rFonts w:eastAsia="Arial" w:cs="Arial"/>
          <w:color w:val="000000"/>
          <w:szCs w:val="16"/>
        </w:rPr>
        <w:t xml:space="preserve">”.  </w:t>
      </w:r>
    </w:p>
  </w:footnote>
  <w:footnote w:id="15">
    <w:p w14:paraId="330B5902" w14:textId="61028D37" w:rsidR="00273EE7" w:rsidRPr="00EA4852" w:rsidRDefault="00273EE7" w:rsidP="00273EE7">
      <w:pPr>
        <w:pStyle w:val="Fodnotetekst"/>
      </w:pPr>
      <w:r w:rsidRPr="00EA4852">
        <w:rPr>
          <w:rStyle w:val="Fodnotehenvisning"/>
        </w:rPr>
        <w:footnoteRef/>
      </w:r>
      <w:r w:rsidR="008F1392">
        <w:rPr>
          <w:rFonts w:eastAsia="Arial" w:cs="Arial"/>
          <w:color w:val="000000"/>
          <w:szCs w:val="16"/>
        </w:rPr>
        <w:t xml:space="preserve"> Finanstilsynets orientering: ”</w:t>
      </w:r>
      <w:r w:rsidR="008F1392">
        <w:t xml:space="preserve">Blockchain-teknologi kan udgøre en effektiv infrastruktur til betalingstjenester”. </w:t>
      </w:r>
    </w:p>
  </w:footnote>
  <w:footnote w:id="16">
    <w:p w14:paraId="48DA67E8" w14:textId="357FEF5C" w:rsidR="001470F4" w:rsidRPr="00EA4852" w:rsidRDefault="001470F4" w:rsidP="001470F4">
      <w:pPr>
        <w:pStyle w:val="Fodnotetekst"/>
      </w:pPr>
      <w:r w:rsidRPr="00EA4852">
        <w:rPr>
          <w:rStyle w:val="Fodnotehenvisning"/>
        </w:rPr>
        <w:footnoteRef/>
      </w:r>
      <w:r w:rsidRPr="00EA4852">
        <w:t xml:space="preserve"> 51-procentsangreb</w:t>
      </w:r>
      <w:r w:rsidR="00DA663E">
        <w:t xml:space="preserve"> </w:t>
      </w:r>
      <w:r w:rsidRPr="00EA4852">
        <w:t>er kort fortalt tilfælde, hvor en eller flere ondsindede aktører i en sammenslutning kontrollerer mere end 50 p</w:t>
      </w:r>
      <w:r w:rsidR="00EC1235">
        <w:t>ct.</w:t>
      </w:r>
      <w:r w:rsidRPr="00EA4852">
        <w:t xml:space="preserve"> af beslutningskompetencerne og på den </w:t>
      </w:r>
      <w:r w:rsidR="00EC1235">
        <w:t xml:space="preserve">måde </w:t>
      </w:r>
      <w:r w:rsidRPr="00EA4852">
        <w:t>kontro</w:t>
      </w:r>
      <w:r w:rsidR="00DA663E">
        <w:t>llerer</w:t>
      </w:r>
      <w:r w:rsidR="00EC1235">
        <w:t>,</w:t>
      </w:r>
      <w:r w:rsidRPr="00EA4852">
        <w:t xml:space="preserve"> hvilke nye registreringer der foretages i hovedbogen.</w:t>
      </w:r>
    </w:p>
  </w:footnote>
  <w:footnote w:id="17">
    <w:p w14:paraId="1797FFC8" w14:textId="77777777" w:rsidR="002847C2" w:rsidRPr="00EA4852" w:rsidRDefault="002847C2" w:rsidP="002847C2">
      <w:pPr>
        <w:pStyle w:val="Fodnotetekst"/>
      </w:pPr>
      <w:r w:rsidRPr="00EA4852">
        <w:rPr>
          <w:rStyle w:val="Fodnotehenvisning"/>
        </w:rPr>
        <w:footnoteRef/>
      </w:r>
      <w:r>
        <w:rPr>
          <w:rFonts w:eastAsia="Arial" w:cs="Arial"/>
          <w:color w:val="000000"/>
          <w:szCs w:val="16"/>
        </w:rPr>
        <w:t xml:space="preserve"> </w:t>
      </w:r>
      <w:hyperlink r:id="rId2">
        <w:r>
          <w:rPr>
            <w:rFonts w:eastAsia="Arial" w:cs="Arial"/>
            <w:color w:val="990000"/>
            <w:szCs w:val="16"/>
            <w:u w:val="single"/>
          </w:rPr>
          <w:t>https://ethereum.org/en/developers/docs/smart-contracts/</w:t>
        </w:r>
      </w:hyperlink>
    </w:p>
  </w:footnote>
  <w:footnote w:id="18">
    <w:p w14:paraId="3D3C5B32" w14:textId="33727616" w:rsidR="002847C2" w:rsidRPr="00EA4852" w:rsidRDefault="002847C2" w:rsidP="002847C2">
      <w:pPr>
        <w:pStyle w:val="Fodnotetekst"/>
      </w:pPr>
      <w:r w:rsidRPr="00EA4852">
        <w:rPr>
          <w:rStyle w:val="Fodnotehenvisning"/>
        </w:rPr>
        <w:footnoteRef/>
      </w:r>
      <w:r w:rsidRPr="00EA4852">
        <w:t xml:space="preserve"> Den offentlige nøgle kan sammenlignes med en kundes kontonummer i en bank og er således den adresse på blockchainen, som rettighederne til de kryptoaktiver, der overføres til den givne bruger, registreres på. Den private nøgle er brugerens adgang til at foretage transaktioner med de kryptoaktiver, der er registreret til brugerens offentlige nøgle.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B1B1" w14:textId="77777777" w:rsidR="006D660D" w:rsidRDefault="006D660D" w:rsidP="006B36FE">
    <w:pPr>
      <w:pStyle w:val="Sidehoved"/>
      <w:tabs>
        <w:tab w:val="clear" w:pos="4819"/>
        <w:tab w:val="center" w:pos="4253"/>
      </w:tabs>
    </w:pPr>
    <w:r>
      <w:rPr>
        <w:noProof/>
        <w:lang w:eastAsia="da-DK"/>
      </w:rPr>
      <w:drawing>
        <wp:anchor distT="0" distB="0" distL="114300" distR="114300" simplePos="0" relativeHeight="251657216" behindDoc="0" locked="0" layoutInCell="1" allowOverlap="1" wp14:anchorId="7303DC80" wp14:editId="762F14EE">
          <wp:simplePos x="0" y="0"/>
          <wp:positionH relativeFrom="column">
            <wp:posOffset>1910715</wp:posOffset>
          </wp:positionH>
          <wp:positionV relativeFrom="paragraph">
            <wp:posOffset>-46990</wp:posOffset>
          </wp:positionV>
          <wp:extent cx="1600200" cy="504825"/>
          <wp:effectExtent l="19050" t="0" r="0" b="0"/>
          <wp:wrapTopAndBottom/>
          <wp:docPr id="944192935" name="Billede 1"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C6B"/>
    <w:multiLevelType w:val="hybridMultilevel"/>
    <w:tmpl w:val="01B6F0D6"/>
    <w:lvl w:ilvl="0" w:tplc="0406000B">
      <w:start w:val="1"/>
      <w:numFmt w:val="bullet"/>
      <w:lvlText w:val=""/>
      <w:lvlJc w:val="left"/>
      <w:pPr>
        <w:ind w:left="1920" w:hanging="360"/>
      </w:pPr>
      <w:rPr>
        <w:rFonts w:ascii="Wingdings" w:hAnsi="Wingdings" w:hint="default"/>
      </w:rPr>
    </w:lvl>
    <w:lvl w:ilvl="1" w:tplc="04060003" w:tentative="1">
      <w:start w:val="1"/>
      <w:numFmt w:val="bullet"/>
      <w:lvlText w:val="o"/>
      <w:lvlJc w:val="left"/>
      <w:pPr>
        <w:ind w:left="2640" w:hanging="360"/>
      </w:pPr>
      <w:rPr>
        <w:rFonts w:ascii="Courier New" w:hAnsi="Courier New" w:cs="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cs="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cs="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1" w15:restartNumberingAfterBreak="0">
    <w:nsid w:val="036E2F18"/>
    <w:multiLevelType w:val="hybridMultilevel"/>
    <w:tmpl w:val="7D70B924"/>
    <w:lvl w:ilvl="0" w:tplc="104C86F4">
      <w:start w:val="1"/>
      <w:numFmt w:val="bullet"/>
      <w:pStyle w:val="Listeafsnit"/>
      <w:lvlText w:val=""/>
      <w:lvlJc w:val="left"/>
      <w:pPr>
        <w:ind w:left="2024" w:hanging="360"/>
      </w:pPr>
      <w:rPr>
        <w:rFonts w:ascii="Symbol" w:hAnsi="Symbol" w:hint="default"/>
        <w:color w:val="990000"/>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9BD535F"/>
    <w:multiLevelType w:val="hybridMultilevel"/>
    <w:tmpl w:val="368CF72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3B26ED"/>
    <w:multiLevelType w:val="hybridMultilevel"/>
    <w:tmpl w:val="2098B8C0"/>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0CBE138F"/>
    <w:multiLevelType w:val="hybridMultilevel"/>
    <w:tmpl w:val="2B2A320C"/>
    <w:lvl w:ilvl="0" w:tplc="0406000B">
      <w:start w:val="1"/>
      <w:numFmt w:val="bullet"/>
      <w:lvlText w:val=""/>
      <w:lvlJc w:val="left"/>
      <w:pPr>
        <w:ind w:left="1918" w:hanging="360"/>
      </w:pPr>
      <w:rPr>
        <w:rFonts w:ascii="Wingdings" w:hAnsi="Wingdings" w:hint="default"/>
      </w:rPr>
    </w:lvl>
    <w:lvl w:ilvl="1" w:tplc="04060003" w:tentative="1">
      <w:start w:val="1"/>
      <w:numFmt w:val="bullet"/>
      <w:lvlText w:val="o"/>
      <w:lvlJc w:val="left"/>
      <w:pPr>
        <w:ind w:left="2638" w:hanging="360"/>
      </w:pPr>
      <w:rPr>
        <w:rFonts w:ascii="Courier New" w:hAnsi="Courier New" w:cs="Courier New" w:hint="default"/>
      </w:rPr>
    </w:lvl>
    <w:lvl w:ilvl="2" w:tplc="04060005" w:tentative="1">
      <w:start w:val="1"/>
      <w:numFmt w:val="bullet"/>
      <w:lvlText w:val=""/>
      <w:lvlJc w:val="left"/>
      <w:pPr>
        <w:ind w:left="3358" w:hanging="360"/>
      </w:pPr>
      <w:rPr>
        <w:rFonts w:ascii="Wingdings" w:hAnsi="Wingdings" w:hint="default"/>
      </w:rPr>
    </w:lvl>
    <w:lvl w:ilvl="3" w:tplc="04060001" w:tentative="1">
      <w:start w:val="1"/>
      <w:numFmt w:val="bullet"/>
      <w:lvlText w:val=""/>
      <w:lvlJc w:val="left"/>
      <w:pPr>
        <w:ind w:left="4078" w:hanging="360"/>
      </w:pPr>
      <w:rPr>
        <w:rFonts w:ascii="Symbol" w:hAnsi="Symbol" w:hint="default"/>
      </w:rPr>
    </w:lvl>
    <w:lvl w:ilvl="4" w:tplc="04060003" w:tentative="1">
      <w:start w:val="1"/>
      <w:numFmt w:val="bullet"/>
      <w:lvlText w:val="o"/>
      <w:lvlJc w:val="left"/>
      <w:pPr>
        <w:ind w:left="4798" w:hanging="360"/>
      </w:pPr>
      <w:rPr>
        <w:rFonts w:ascii="Courier New" w:hAnsi="Courier New" w:cs="Courier New" w:hint="default"/>
      </w:rPr>
    </w:lvl>
    <w:lvl w:ilvl="5" w:tplc="04060005" w:tentative="1">
      <w:start w:val="1"/>
      <w:numFmt w:val="bullet"/>
      <w:lvlText w:val=""/>
      <w:lvlJc w:val="left"/>
      <w:pPr>
        <w:ind w:left="5518" w:hanging="360"/>
      </w:pPr>
      <w:rPr>
        <w:rFonts w:ascii="Wingdings" w:hAnsi="Wingdings" w:hint="default"/>
      </w:rPr>
    </w:lvl>
    <w:lvl w:ilvl="6" w:tplc="04060001" w:tentative="1">
      <w:start w:val="1"/>
      <w:numFmt w:val="bullet"/>
      <w:lvlText w:val=""/>
      <w:lvlJc w:val="left"/>
      <w:pPr>
        <w:ind w:left="6238" w:hanging="360"/>
      </w:pPr>
      <w:rPr>
        <w:rFonts w:ascii="Symbol" w:hAnsi="Symbol" w:hint="default"/>
      </w:rPr>
    </w:lvl>
    <w:lvl w:ilvl="7" w:tplc="04060003" w:tentative="1">
      <w:start w:val="1"/>
      <w:numFmt w:val="bullet"/>
      <w:lvlText w:val="o"/>
      <w:lvlJc w:val="left"/>
      <w:pPr>
        <w:ind w:left="6958" w:hanging="360"/>
      </w:pPr>
      <w:rPr>
        <w:rFonts w:ascii="Courier New" w:hAnsi="Courier New" w:cs="Courier New" w:hint="default"/>
      </w:rPr>
    </w:lvl>
    <w:lvl w:ilvl="8" w:tplc="04060005" w:tentative="1">
      <w:start w:val="1"/>
      <w:numFmt w:val="bullet"/>
      <w:lvlText w:val=""/>
      <w:lvlJc w:val="left"/>
      <w:pPr>
        <w:ind w:left="7678" w:hanging="360"/>
      </w:pPr>
      <w:rPr>
        <w:rFonts w:ascii="Wingdings" w:hAnsi="Wingdings" w:hint="default"/>
      </w:rPr>
    </w:lvl>
  </w:abstractNum>
  <w:abstractNum w:abstractNumId="5" w15:restartNumberingAfterBreak="0">
    <w:nsid w:val="0D872813"/>
    <w:multiLevelType w:val="hybridMultilevel"/>
    <w:tmpl w:val="EC02CE1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9274FD"/>
    <w:multiLevelType w:val="hybridMultilevel"/>
    <w:tmpl w:val="9BFA6AB2"/>
    <w:lvl w:ilvl="0" w:tplc="1558180C">
      <w:start w:val="1"/>
      <w:numFmt w:val="bullet"/>
      <w:lvlText w:val=""/>
      <w:lvlJc w:val="left"/>
      <w:pPr>
        <w:ind w:left="720" w:hanging="360"/>
      </w:pPr>
      <w:rPr>
        <w:rFonts w:ascii="Symbol" w:hAnsi="Symbol" w:hint="default"/>
        <w:color w:val="99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2A767A"/>
    <w:multiLevelType w:val="hybridMultilevel"/>
    <w:tmpl w:val="1212C29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7324A9"/>
    <w:multiLevelType w:val="hybridMultilevel"/>
    <w:tmpl w:val="271494CC"/>
    <w:lvl w:ilvl="0" w:tplc="DC043656">
      <w:start w:val="1"/>
      <w:numFmt w:val="bullet"/>
      <w:lvlText w:val=""/>
      <w:lvlJc w:val="left"/>
      <w:pPr>
        <w:ind w:left="720" w:hanging="360"/>
      </w:pPr>
      <w:rPr>
        <w:rFonts w:ascii="Symbol" w:hAnsi="Symbol"/>
      </w:rPr>
    </w:lvl>
    <w:lvl w:ilvl="1" w:tplc="E7008E56">
      <w:start w:val="1"/>
      <w:numFmt w:val="bullet"/>
      <w:lvlText w:val=""/>
      <w:lvlJc w:val="left"/>
      <w:pPr>
        <w:ind w:left="720" w:hanging="360"/>
      </w:pPr>
      <w:rPr>
        <w:rFonts w:ascii="Symbol" w:hAnsi="Symbol"/>
      </w:rPr>
    </w:lvl>
    <w:lvl w:ilvl="2" w:tplc="0282B81E">
      <w:start w:val="1"/>
      <w:numFmt w:val="bullet"/>
      <w:lvlText w:val=""/>
      <w:lvlJc w:val="left"/>
      <w:pPr>
        <w:ind w:left="720" w:hanging="360"/>
      </w:pPr>
      <w:rPr>
        <w:rFonts w:ascii="Symbol" w:hAnsi="Symbol"/>
      </w:rPr>
    </w:lvl>
    <w:lvl w:ilvl="3" w:tplc="0CC08282">
      <w:start w:val="1"/>
      <w:numFmt w:val="bullet"/>
      <w:lvlText w:val=""/>
      <w:lvlJc w:val="left"/>
      <w:pPr>
        <w:ind w:left="720" w:hanging="360"/>
      </w:pPr>
      <w:rPr>
        <w:rFonts w:ascii="Symbol" w:hAnsi="Symbol"/>
      </w:rPr>
    </w:lvl>
    <w:lvl w:ilvl="4" w:tplc="35F2CE2E">
      <w:start w:val="1"/>
      <w:numFmt w:val="bullet"/>
      <w:lvlText w:val=""/>
      <w:lvlJc w:val="left"/>
      <w:pPr>
        <w:ind w:left="720" w:hanging="360"/>
      </w:pPr>
      <w:rPr>
        <w:rFonts w:ascii="Symbol" w:hAnsi="Symbol"/>
      </w:rPr>
    </w:lvl>
    <w:lvl w:ilvl="5" w:tplc="4350CE78">
      <w:start w:val="1"/>
      <w:numFmt w:val="bullet"/>
      <w:lvlText w:val=""/>
      <w:lvlJc w:val="left"/>
      <w:pPr>
        <w:ind w:left="720" w:hanging="360"/>
      </w:pPr>
      <w:rPr>
        <w:rFonts w:ascii="Symbol" w:hAnsi="Symbol"/>
      </w:rPr>
    </w:lvl>
    <w:lvl w:ilvl="6" w:tplc="630AF426">
      <w:start w:val="1"/>
      <w:numFmt w:val="bullet"/>
      <w:lvlText w:val=""/>
      <w:lvlJc w:val="left"/>
      <w:pPr>
        <w:ind w:left="720" w:hanging="360"/>
      </w:pPr>
      <w:rPr>
        <w:rFonts w:ascii="Symbol" w:hAnsi="Symbol"/>
      </w:rPr>
    </w:lvl>
    <w:lvl w:ilvl="7" w:tplc="DC006DE2">
      <w:start w:val="1"/>
      <w:numFmt w:val="bullet"/>
      <w:lvlText w:val=""/>
      <w:lvlJc w:val="left"/>
      <w:pPr>
        <w:ind w:left="720" w:hanging="360"/>
      </w:pPr>
      <w:rPr>
        <w:rFonts w:ascii="Symbol" w:hAnsi="Symbol"/>
      </w:rPr>
    </w:lvl>
    <w:lvl w:ilvl="8" w:tplc="03DEB8CC">
      <w:start w:val="1"/>
      <w:numFmt w:val="bullet"/>
      <w:lvlText w:val=""/>
      <w:lvlJc w:val="left"/>
      <w:pPr>
        <w:ind w:left="720" w:hanging="360"/>
      </w:pPr>
      <w:rPr>
        <w:rFonts w:ascii="Symbol" w:hAnsi="Symbol"/>
      </w:rPr>
    </w:lvl>
  </w:abstractNum>
  <w:abstractNum w:abstractNumId="9" w15:restartNumberingAfterBreak="0">
    <w:nsid w:val="1F0953A5"/>
    <w:multiLevelType w:val="hybridMultilevel"/>
    <w:tmpl w:val="F18C12C2"/>
    <w:lvl w:ilvl="0" w:tplc="0406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2419FC"/>
    <w:multiLevelType w:val="hybridMultilevel"/>
    <w:tmpl w:val="0F325BFC"/>
    <w:lvl w:ilvl="0" w:tplc="FFFFFFFF">
      <w:start w:val="1"/>
      <w:numFmt w:val="bullet"/>
      <w:lvlText w:val=""/>
      <w:lvlJc w:val="left"/>
      <w:pPr>
        <w:ind w:left="720" w:hanging="360"/>
      </w:pPr>
      <w:rPr>
        <w:rFonts w:ascii="Symbol" w:hAnsi="Symbol" w:hint="default"/>
      </w:rPr>
    </w:lvl>
    <w:lvl w:ilvl="1" w:tplc="040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0D1ED9"/>
    <w:multiLevelType w:val="hybridMultilevel"/>
    <w:tmpl w:val="22044CA0"/>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D4C6765"/>
    <w:multiLevelType w:val="hybridMultilevel"/>
    <w:tmpl w:val="9E106806"/>
    <w:lvl w:ilvl="0" w:tplc="0406000B">
      <w:start w:val="1"/>
      <w:numFmt w:val="bullet"/>
      <w:lvlText w:val=""/>
      <w:lvlJc w:val="left"/>
      <w:pPr>
        <w:ind w:left="1146" w:hanging="360"/>
      </w:pPr>
      <w:rPr>
        <w:rFonts w:ascii="Wingdings" w:hAnsi="Wingdings"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3" w15:restartNumberingAfterBreak="0">
    <w:nsid w:val="2E7C0FDA"/>
    <w:multiLevelType w:val="hybridMultilevel"/>
    <w:tmpl w:val="C54210B4"/>
    <w:lvl w:ilvl="0" w:tplc="1558180C">
      <w:start w:val="1"/>
      <w:numFmt w:val="bullet"/>
      <w:lvlText w:val=""/>
      <w:lvlJc w:val="left"/>
      <w:pPr>
        <w:ind w:left="720" w:hanging="360"/>
      </w:pPr>
      <w:rPr>
        <w:rFonts w:ascii="Symbol" w:hAnsi="Symbol" w:hint="default"/>
        <w:color w:val="99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AF347D"/>
    <w:multiLevelType w:val="hybridMultilevel"/>
    <w:tmpl w:val="2C3E8B66"/>
    <w:lvl w:ilvl="0" w:tplc="0406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062595"/>
    <w:multiLevelType w:val="hybridMultilevel"/>
    <w:tmpl w:val="FD88191C"/>
    <w:lvl w:ilvl="0" w:tplc="04060001">
      <w:start w:val="1"/>
      <w:numFmt w:val="bullet"/>
      <w:lvlText w:val=""/>
      <w:lvlJc w:val="left"/>
      <w:pPr>
        <w:ind w:left="720" w:hanging="360"/>
      </w:pPr>
      <w:rPr>
        <w:rFonts w:ascii="Symbol" w:hAnsi="Symbol" w:hint="default"/>
      </w:rPr>
    </w:lvl>
    <w:lvl w:ilvl="1" w:tplc="0406000B">
      <w:start w:val="1"/>
      <w:numFmt w:val="bullet"/>
      <w:lvlText w:val=""/>
      <w:lvlJc w:val="left"/>
      <w:pPr>
        <w:ind w:left="1440" w:hanging="360"/>
      </w:pPr>
      <w:rPr>
        <w:rFonts w:ascii="Wingdings" w:hAnsi="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D76143"/>
    <w:multiLevelType w:val="hybridMultilevel"/>
    <w:tmpl w:val="8A626F7C"/>
    <w:lvl w:ilvl="0" w:tplc="040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364E12"/>
    <w:multiLevelType w:val="hybridMultilevel"/>
    <w:tmpl w:val="26CA63F4"/>
    <w:lvl w:ilvl="0" w:tplc="040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13685E"/>
    <w:multiLevelType w:val="hybridMultilevel"/>
    <w:tmpl w:val="DC8ED9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7050427"/>
    <w:multiLevelType w:val="hybridMultilevel"/>
    <w:tmpl w:val="ED40315A"/>
    <w:lvl w:ilvl="0" w:tplc="A6CA2E46">
      <w:start w:val="1"/>
      <w:numFmt w:val="lowerLetter"/>
      <w:pStyle w:val="ListeBogstaver"/>
      <w:lvlText w:val="%1)"/>
      <w:lvlJc w:val="left"/>
      <w:pPr>
        <w:ind w:left="36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86711CF"/>
    <w:multiLevelType w:val="hybridMultilevel"/>
    <w:tmpl w:val="BC6C255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6119AB"/>
    <w:multiLevelType w:val="hybridMultilevel"/>
    <w:tmpl w:val="99A83A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06477B6"/>
    <w:multiLevelType w:val="hybridMultilevel"/>
    <w:tmpl w:val="8B468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37A58C8"/>
    <w:multiLevelType w:val="hybridMultilevel"/>
    <w:tmpl w:val="650A8D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48036A"/>
    <w:multiLevelType w:val="hybridMultilevel"/>
    <w:tmpl w:val="EF2C3296"/>
    <w:lvl w:ilvl="0" w:tplc="0406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2C56A6"/>
    <w:multiLevelType w:val="hybridMultilevel"/>
    <w:tmpl w:val="C1568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E1B3805"/>
    <w:multiLevelType w:val="hybridMultilevel"/>
    <w:tmpl w:val="C35E8548"/>
    <w:lvl w:ilvl="0" w:tplc="0406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6F392A"/>
    <w:multiLevelType w:val="hybridMultilevel"/>
    <w:tmpl w:val="5B0420F4"/>
    <w:lvl w:ilvl="0" w:tplc="040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5F419B"/>
    <w:multiLevelType w:val="hybridMultilevel"/>
    <w:tmpl w:val="3E26C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0087A79"/>
    <w:multiLevelType w:val="hybridMultilevel"/>
    <w:tmpl w:val="A1F820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351EE8"/>
    <w:multiLevelType w:val="hybridMultilevel"/>
    <w:tmpl w:val="A4C2291E"/>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8379B6"/>
    <w:multiLevelType w:val="hybridMultilevel"/>
    <w:tmpl w:val="2362A9D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BE114FD"/>
    <w:multiLevelType w:val="hybridMultilevel"/>
    <w:tmpl w:val="178A4D90"/>
    <w:lvl w:ilvl="0" w:tplc="FB3E3660">
      <w:start w:val="1"/>
      <w:numFmt w:val="decimal"/>
      <w:pStyle w:val="Underoverskrif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C1A0E9D"/>
    <w:multiLevelType w:val="hybridMultilevel"/>
    <w:tmpl w:val="9B8849C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B33950"/>
    <w:multiLevelType w:val="hybridMultilevel"/>
    <w:tmpl w:val="D2441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3905AC"/>
    <w:multiLevelType w:val="hybridMultilevel"/>
    <w:tmpl w:val="A404DF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8723263"/>
    <w:multiLevelType w:val="hybridMultilevel"/>
    <w:tmpl w:val="6DC0F484"/>
    <w:lvl w:ilvl="0" w:tplc="0406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71256F"/>
    <w:multiLevelType w:val="hybridMultilevel"/>
    <w:tmpl w:val="48DEDFBE"/>
    <w:lvl w:ilvl="0" w:tplc="F9F853DE">
      <w:start w:val="1"/>
      <w:numFmt w:val="decimal"/>
      <w:pStyle w:val="ListeT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9E50A6"/>
    <w:multiLevelType w:val="hybridMultilevel"/>
    <w:tmpl w:val="5F304D1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CB63EBA"/>
    <w:multiLevelType w:val="hybridMultilevel"/>
    <w:tmpl w:val="2F52C6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541C29"/>
    <w:multiLevelType w:val="hybridMultilevel"/>
    <w:tmpl w:val="B62C245E"/>
    <w:lvl w:ilvl="0" w:tplc="E3F279F8">
      <w:start w:val="1"/>
      <w:numFmt w:val="decimal"/>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7734D9"/>
    <w:multiLevelType w:val="hybridMultilevel"/>
    <w:tmpl w:val="15D2574C"/>
    <w:lvl w:ilvl="0" w:tplc="040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7B5A1D"/>
    <w:multiLevelType w:val="hybridMultilevel"/>
    <w:tmpl w:val="EA10E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28647FA"/>
    <w:multiLevelType w:val="hybridMultilevel"/>
    <w:tmpl w:val="CE481C7A"/>
    <w:lvl w:ilvl="0" w:tplc="0406000B">
      <w:start w:val="1"/>
      <w:numFmt w:val="bullet"/>
      <w:lvlText w:val=""/>
      <w:lvlJc w:val="left"/>
      <w:pPr>
        <w:ind w:left="720" w:hanging="360"/>
      </w:pPr>
      <w:rPr>
        <w:rFonts w:ascii="Wingdings" w:hAnsi="Wingdings" w:hint="default"/>
      </w:rPr>
    </w:lvl>
    <w:lvl w:ilvl="1" w:tplc="040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581711"/>
    <w:multiLevelType w:val="hybridMultilevel"/>
    <w:tmpl w:val="2C985134"/>
    <w:lvl w:ilvl="0" w:tplc="FFFFFFFF">
      <w:start w:val="1"/>
      <w:numFmt w:val="bullet"/>
      <w:lvlText w:val=""/>
      <w:lvlJc w:val="left"/>
      <w:pPr>
        <w:ind w:left="720" w:hanging="360"/>
      </w:pPr>
      <w:rPr>
        <w:rFonts w:ascii="Symbol" w:hAnsi="Symbol" w:hint="default"/>
      </w:rPr>
    </w:lvl>
    <w:lvl w:ilvl="1" w:tplc="0406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6264FCA"/>
    <w:multiLevelType w:val="hybridMultilevel"/>
    <w:tmpl w:val="7E9C94A4"/>
    <w:lvl w:ilvl="0" w:tplc="E9F0245E">
      <w:start w:val="1"/>
      <w:numFmt w:val="bullet"/>
      <w:lvlText w:val=""/>
      <w:lvlJc w:val="left"/>
      <w:pPr>
        <w:ind w:left="720" w:hanging="360"/>
      </w:pPr>
      <w:rPr>
        <w:rFonts w:ascii="Symbol" w:hAnsi="Symbol"/>
      </w:rPr>
    </w:lvl>
    <w:lvl w:ilvl="1" w:tplc="98D81238">
      <w:start w:val="1"/>
      <w:numFmt w:val="bullet"/>
      <w:lvlText w:val=""/>
      <w:lvlJc w:val="left"/>
      <w:pPr>
        <w:ind w:left="720" w:hanging="360"/>
      </w:pPr>
      <w:rPr>
        <w:rFonts w:ascii="Symbol" w:hAnsi="Symbol"/>
      </w:rPr>
    </w:lvl>
    <w:lvl w:ilvl="2" w:tplc="6C3E2610">
      <w:start w:val="1"/>
      <w:numFmt w:val="bullet"/>
      <w:lvlText w:val=""/>
      <w:lvlJc w:val="left"/>
      <w:pPr>
        <w:ind w:left="720" w:hanging="360"/>
      </w:pPr>
      <w:rPr>
        <w:rFonts w:ascii="Symbol" w:hAnsi="Symbol"/>
      </w:rPr>
    </w:lvl>
    <w:lvl w:ilvl="3" w:tplc="BDD642B6">
      <w:start w:val="1"/>
      <w:numFmt w:val="bullet"/>
      <w:lvlText w:val=""/>
      <w:lvlJc w:val="left"/>
      <w:pPr>
        <w:ind w:left="720" w:hanging="360"/>
      </w:pPr>
      <w:rPr>
        <w:rFonts w:ascii="Symbol" w:hAnsi="Symbol"/>
      </w:rPr>
    </w:lvl>
    <w:lvl w:ilvl="4" w:tplc="A68247F2">
      <w:start w:val="1"/>
      <w:numFmt w:val="bullet"/>
      <w:lvlText w:val=""/>
      <w:lvlJc w:val="left"/>
      <w:pPr>
        <w:ind w:left="720" w:hanging="360"/>
      </w:pPr>
      <w:rPr>
        <w:rFonts w:ascii="Symbol" w:hAnsi="Symbol"/>
      </w:rPr>
    </w:lvl>
    <w:lvl w:ilvl="5" w:tplc="866424C2">
      <w:start w:val="1"/>
      <w:numFmt w:val="bullet"/>
      <w:lvlText w:val=""/>
      <w:lvlJc w:val="left"/>
      <w:pPr>
        <w:ind w:left="720" w:hanging="360"/>
      </w:pPr>
      <w:rPr>
        <w:rFonts w:ascii="Symbol" w:hAnsi="Symbol"/>
      </w:rPr>
    </w:lvl>
    <w:lvl w:ilvl="6" w:tplc="A538DBE4">
      <w:start w:val="1"/>
      <w:numFmt w:val="bullet"/>
      <w:lvlText w:val=""/>
      <w:lvlJc w:val="left"/>
      <w:pPr>
        <w:ind w:left="720" w:hanging="360"/>
      </w:pPr>
      <w:rPr>
        <w:rFonts w:ascii="Symbol" w:hAnsi="Symbol"/>
      </w:rPr>
    </w:lvl>
    <w:lvl w:ilvl="7" w:tplc="4FB8DC8A">
      <w:start w:val="1"/>
      <w:numFmt w:val="bullet"/>
      <w:lvlText w:val=""/>
      <w:lvlJc w:val="left"/>
      <w:pPr>
        <w:ind w:left="720" w:hanging="360"/>
      </w:pPr>
      <w:rPr>
        <w:rFonts w:ascii="Symbol" w:hAnsi="Symbol"/>
      </w:rPr>
    </w:lvl>
    <w:lvl w:ilvl="8" w:tplc="4432A57E">
      <w:start w:val="1"/>
      <w:numFmt w:val="bullet"/>
      <w:lvlText w:val=""/>
      <w:lvlJc w:val="left"/>
      <w:pPr>
        <w:ind w:left="720" w:hanging="360"/>
      </w:pPr>
      <w:rPr>
        <w:rFonts w:ascii="Symbol" w:hAnsi="Symbol"/>
      </w:rPr>
    </w:lvl>
  </w:abstractNum>
  <w:num w:numId="1" w16cid:durableId="828982910">
    <w:abstractNumId w:val="18"/>
  </w:num>
  <w:num w:numId="2" w16cid:durableId="100223240">
    <w:abstractNumId w:val="13"/>
  </w:num>
  <w:num w:numId="3" w16cid:durableId="830102355">
    <w:abstractNumId w:val="31"/>
  </w:num>
  <w:num w:numId="4" w16cid:durableId="1838880948">
    <w:abstractNumId w:val="6"/>
  </w:num>
  <w:num w:numId="5" w16cid:durableId="56245371">
    <w:abstractNumId w:val="1"/>
  </w:num>
  <w:num w:numId="6" w16cid:durableId="578253199">
    <w:abstractNumId w:val="38"/>
  </w:num>
  <w:num w:numId="7" w16cid:durableId="1162619322">
    <w:abstractNumId w:val="32"/>
  </w:num>
  <w:num w:numId="8" w16cid:durableId="664675330">
    <w:abstractNumId w:val="37"/>
  </w:num>
  <w:num w:numId="9" w16cid:durableId="405542087">
    <w:abstractNumId w:val="19"/>
  </w:num>
  <w:num w:numId="10" w16cid:durableId="764572605">
    <w:abstractNumId w:val="21"/>
  </w:num>
  <w:num w:numId="11" w16cid:durableId="350648990">
    <w:abstractNumId w:val="41"/>
  </w:num>
  <w:num w:numId="12" w16cid:durableId="1038697283">
    <w:abstractNumId w:val="40"/>
  </w:num>
  <w:num w:numId="13" w16cid:durableId="232785046">
    <w:abstractNumId w:val="7"/>
  </w:num>
  <w:num w:numId="14" w16cid:durableId="1300265526">
    <w:abstractNumId w:val="23"/>
  </w:num>
  <w:num w:numId="15" w16cid:durableId="634874611">
    <w:abstractNumId w:val="25"/>
  </w:num>
  <w:num w:numId="16" w16cid:durableId="1961374388">
    <w:abstractNumId w:val="35"/>
  </w:num>
  <w:num w:numId="17" w16cid:durableId="661739547">
    <w:abstractNumId w:val="45"/>
  </w:num>
  <w:num w:numId="18" w16cid:durableId="115177971">
    <w:abstractNumId w:val="22"/>
  </w:num>
  <w:num w:numId="19" w16cid:durableId="1514108641">
    <w:abstractNumId w:val="34"/>
  </w:num>
  <w:num w:numId="20" w16cid:durableId="1046099724">
    <w:abstractNumId w:val="5"/>
  </w:num>
  <w:num w:numId="21" w16cid:durableId="1738015796">
    <w:abstractNumId w:val="42"/>
  </w:num>
  <w:num w:numId="22" w16cid:durableId="1838416857">
    <w:abstractNumId w:val="8"/>
  </w:num>
  <w:num w:numId="23" w16cid:durableId="979698585">
    <w:abstractNumId w:val="12"/>
  </w:num>
  <w:num w:numId="24" w16cid:durableId="1139809597">
    <w:abstractNumId w:val="30"/>
  </w:num>
  <w:num w:numId="25" w16cid:durableId="1204366283">
    <w:abstractNumId w:val="20"/>
  </w:num>
  <w:num w:numId="26" w16cid:durableId="952638608">
    <w:abstractNumId w:val="3"/>
  </w:num>
  <w:num w:numId="27" w16cid:durableId="509880833">
    <w:abstractNumId w:val="11"/>
  </w:num>
  <w:num w:numId="28" w16cid:durableId="61955113">
    <w:abstractNumId w:val="39"/>
  </w:num>
  <w:num w:numId="29" w16cid:durableId="584388253">
    <w:abstractNumId w:val="28"/>
  </w:num>
  <w:num w:numId="30" w16cid:durableId="28183597">
    <w:abstractNumId w:val="43"/>
  </w:num>
  <w:num w:numId="31" w16cid:durableId="297804288">
    <w:abstractNumId w:val="4"/>
  </w:num>
  <w:num w:numId="32" w16cid:durableId="1549102617">
    <w:abstractNumId w:val="0"/>
  </w:num>
  <w:num w:numId="33" w16cid:durableId="361133902">
    <w:abstractNumId w:val="1"/>
  </w:num>
  <w:num w:numId="34" w16cid:durableId="314454672">
    <w:abstractNumId w:val="10"/>
  </w:num>
  <w:num w:numId="35" w16cid:durableId="162398618">
    <w:abstractNumId w:val="44"/>
  </w:num>
  <w:num w:numId="36" w16cid:durableId="204753291">
    <w:abstractNumId w:val="15"/>
  </w:num>
  <w:num w:numId="37" w16cid:durableId="698161149">
    <w:abstractNumId w:val="2"/>
  </w:num>
  <w:num w:numId="38" w16cid:durableId="747002677">
    <w:abstractNumId w:val="29"/>
  </w:num>
  <w:num w:numId="39" w16cid:durableId="917910271">
    <w:abstractNumId w:val="27"/>
  </w:num>
  <w:num w:numId="40" w16cid:durableId="1870950202">
    <w:abstractNumId w:val="33"/>
  </w:num>
  <w:num w:numId="41" w16cid:durableId="791635674">
    <w:abstractNumId w:val="24"/>
  </w:num>
  <w:num w:numId="42" w16cid:durableId="1535189953">
    <w:abstractNumId w:val="26"/>
  </w:num>
  <w:num w:numId="43" w16cid:durableId="949512211">
    <w:abstractNumId w:val="9"/>
  </w:num>
  <w:num w:numId="44" w16cid:durableId="1210069296">
    <w:abstractNumId w:val="36"/>
  </w:num>
  <w:num w:numId="45" w16cid:durableId="1844398622">
    <w:abstractNumId w:val="14"/>
  </w:num>
  <w:num w:numId="46" w16cid:durableId="1445343195">
    <w:abstractNumId w:val="17"/>
  </w:num>
  <w:num w:numId="47" w16cid:durableId="3261790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9"/>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artikel" w:val="Empty"/>
    <w:docVar w:name="artikel_fodnote" w:val="Empty"/>
    <w:docVar w:name="artikel_overskrift" w:val="Empty"/>
    <w:docVar w:name="artikel_title" w:val="Empty"/>
    <w:docVar w:name="Overskrift" w:val="Empty"/>
    <w:docVar w:name="Start" w:val="Empty"/>
    <w:docVar w:name="type_fodnote" w:val="Empty"/>
    <w:docVar w:name="type_overskrift" w:val="Empty"/>
    <w:docVar w:name="type_title" w:val="Empty"/>
    <w:docVar w:name="aar_fodnote" w:val="Empty"/>
    <w:docVar w:name="aar_overskrift" w:val="Empty"/>
    <w:docVar w:name="aar_title" w:val="Empty"/>
  </w:docVars>
  <w:rsids>
    <w:rsidRoot w:val="002939B5"/>
    <w:rsid w:val="00000456"/>
    <w:rsid w:val="00001050"/>
    <w:rsid w:val="00003125"/>
    <w:rsid w:val="00003EE0"/>
    <w:rsid w:val="00005395"/>
    <w:rsid w:val="0000588D"/>
    <w:rsid w:val="00021056"/>
    <w:rsid w:val="00021BC6"/>
    <w:rsid w:val="00021FBC"/>
    <w:rsid w:val="0002652D"/>
    <w:rsid w:val="00031C20"/>
    <w:rsid w:val="000366A0"/>
    <w:rsid w:val="00040FB9"/>
    <w:rsid w:val="0004183F"/>
    <w:rsid w:val="00042031"/>
    <w:rsid w:val="00043BE9"/>
    <w:rsid w:val="000443AF"/>
    <w:rsid w:val="00045029"/>
    <w:rsid w:val="0004540C"/>
    <w:rsid w:val="00046CE1"/>
    <w:rsid w:val="000543F2"/>
    <w:rsid w:val="0005712D"/>
    <w:rsid w:val="0006588A"/>
    <w:rsid w:val="00074D75"/>
    <w:rsid w:val="000750E8"/>
    <w:rsid w:val="000772BA"/>
    <w:rsid w:val="00084C5D"/>
    <w:rsid w:val="00087062"/>
    <w:rsid w:val="000871D2"/>
    <w:rsid w:val="000954B3"/>
    <w:rsid w:val="00095AC6"/>
    <w:rsid w:val="000963B5"/>
    <w:rsid w:val="000979A0"/>
    <w:rsid w:val="00097F0C"/>
    <w:rsid w:val="000A1AA7"/>
    <w:rsid w:val="000A1CAC"/>
    <w:rsid w:val="000A2F9B"/>
    <w:rsid w:val="000A5F91"/>
    <w:rsid w:val="000A7252"/>
    <w:rsid w:val="000A78CC"/>
    <w:rsid w:val="000B275E"/>
    <w:rsid w:val="000B7A18"/>
    <w:rsid w:val="000C7020"/>
    <w:rsid w:val="000C7FC1"/>
    <w:rsid w:val="000D505E"/>
    <w:rsid w:val="000E2468"/>
    <w:rsid w:val="000E46DF"/>
    <w:rsid w:val="000E5575"/>
    <w:rsid w:val="000E622B"/>
    <w:rsid w:val="000E78D3"/>
    <w:rsid w:val="000F284E"/>
    <w:rsid w:val="00102909"/>
    <w:rsid w:val="001038BA"/>
    <w:rsid w:val="00106C50"/>
    <w:rsid w:val="00106CC5"/>
    <w:rsid w:val="00106D03"/>
    <w:rsid w:val="0012265D"/>
    <w:rsid w:val="00124351"/>
    <w:rsid w:val="00126406"/>
    <w:rsid w:val="00127283"/>
    <w:rsid w:val="00127AD2"/>
    <w:rsid w:val="001300D0"/>
    <w:rsid w:val="001416C0"/>
    <w:rsid w:val="0014398C"/>
    <w:rsid w:val="00143A6D"/>
    <w:rsid w:val="00143B9A"/>
    <w:rsid w:val="001470F4"/>
    <w:rsid w:val="0015282B"/>
    <w:rsid w:val="00161F22"/>
    <w:rsid w:val="00162184"/>
    <w:rsid w:val="00167C72"/>
    <w:rsid w:val="00171ECF"/>
    <w:rsid w:val="00177AB2"/>
    <w:rsid w:val="00184396"/>
    <w:rsid w:val="00184401"/>
    <w:rsid w:val="001907DE"/>
    <w:rsid w:val="00191090"/>
    <w:rsid w:val="0019174F"/>
    <w:rsid w:val="0019175F"/>
    <w:rsid w:val="00191BFF"/>
    <w:rsid w:val="001930DE"/>
    <w:rsid w:val="00193B99"/>
    <w:rsid w:val="001966F3"/>
    <w:rsid w:val="001A288C"/>
    <w:rsid w:val="001A56C8"/>
    <w:rsid w:val="001A6467"/>
    <w:rsid w:val="001A7273"/>
    <w:rsid w:val="001B2AF1"/>
    <w:rsid w:val="001B3066"/>
    <w:rsid w:val="001B7B3E"/>
    <w:rsid w:val="001B7ED9"/>
    <w:rsid w:val="001C0707"/>
    <w:rsid w:val="001C0783"/>
    <w:rsid w:val="001C2BF5"/>
    <w:rsid w:val="001C32AE"/>
    <w:rsid w:val="001C3F41"/>
    <w:rsid w:val="001E0A82"/>
    <w:rsid w:val="001E1681"/>
    <w:rsid w:val="001E1ED8"/>
    <w:rsid w:val="001F67BF"/>
    <w:rsid w:val="00201783"/>
    <w:rsid w:val="0020345A"/>
    <w:rsid w:val="00222F17"/>
    <w:rsid w:val="002233B5"/>
    <w:rsid w:val="00230D49"/>
    <w:rsid w:val="002337CE"/>
    <w:rsid w:val="00233A0C"/>
    <w:rsid w:val="00234BD8"/>
    <w:rsid w:val="002350D4"/>
    <w:rsid w:val="00235337"/>
    <w:rsid w:val="002368EA"/>
    <w:rsid w:val="00240CC4"/>
    <w:rsid w:val="0024147A"/>
    <w:rsid w:val="002414F2"/>
    <w:rsid w:val="00242C59"/>
    <w:rsid w:val="00244403"/>
    <w:rsid w:val="00244987"/>
    <w:rsid w:val="00246D8F"/>
    <w:rsid w:val="00254020"/>
    <w:rsid w:val="00256440"/>
    <w:rsid w:val="00256897"/>
    <w:rsid w:val="00266C0B"/>
    <w:rsid w:val="00267029"/>
    <w:rsid w:val="002700CC"/>
    <w:rsid w:val="00273EE7"/>
    <w:rsid w:val="00275CA8"/>
    <w:rsid w:val="00276770"/>
    <w:rsid w:val="00280658"/>
    <w:rsid w:val="002847C2"/>
    <w:rsid w:val="002855C8"/>
    <w:rsid w:val="002904CA"/>
    <w:rsid w:val="00292A5C"/>
    <w:rsid w:val="002939B5"/>
    <w:rsid w:val="00295CEC"/>
    <w:rsid w:val="00297558"/>
    <w:rsid w:val="00297F33"/>
    <w:rsid w:val="002A0EB0"/>
    <w:rsid w:val="002A61FA"/>
    <w:rsid w:val="002B04D9"/>
    <w:rsid w:val="002B2DF8"/>
    <w:rsid w:val="002B387D"/>
    <w:rsid w:val="002B47A3"/>
    <w:rsid w:val="002B5262"/>
    <w:rsid w:val="002B5C2B"/>
    <w:rsid w:val="002B6A2D"/>
    <w:rsid w:val="002C0368"/>
    <w:rsid w:val="002C2A0E"/>
    <w:rsid w:val="002C32C8"/>
    <w:rsid w:val="002D3C36"/>
    <w:rsid w:val="002E5B1F"/>
    <w:rsid w:val="002E639C"/>
    <w:rsid w:val="002F1A49"/>
    <w:rsid w:val="002F77CE"/>
    <w:rsid w:val="00301001"/>
    <w:rsid w:val="00302F51"/>
    <w:rsid w:val="003122E4"/>
    <w:rsid w:val="00312491"/>
    <w:rsid w:val="003141AD"/>
    <w:rsid w:val="00315C00"/>
    <w:rsid w:val="003170CD"/>
    <w:rsid w:val="00325FD3"/>
    <w:rsid w:val="00330C63"/>
    <w:rsid w:val="003333BA"/>
    <w:rsid w:val="00336614"/>
    <w:rsid w:val="00336AAD"/>
    <w:rsid w:val="00342683"/>
    <w:rsid w:val="00342EE9"/>
    <w:rsid w:val="003441A0"/>
    <w:rsid w:val="0034497B"/>
    <w:rsid w:val="00350C2D"/>
    <w:rsid w:val="003516D3"/>
    <w:rsid w:val="00351ACC"/>
    <w:rsid w:val="00354115"/>
    <w:rsid w:val="003546E5"/>
    <w:rsid w:val="00360485"/>
    <w:rsid w:val="00370164"/>
    <w:rsid w:val="00372841"/>
    <w:rsid w:val="003773D3"/>
    <w:rsid w:val="00380858"/>
    <w:rsid w:val="00380EF4"/>
    <w:rsid w:val="00381E9F"/>
    <w:rsid w:val="0039093E"/>
    <w:rsid w:val="00391D88"/>
    <w:rsid w:val="00392C93"/>
    <w:rsid w:val="00393E06"/>
    <w:rsid w:val="00395C94"/>
    <w:rsid w:val="00395D2F"/>
    <w:rsid w:val="00395FAD"/>
    <w:rsid w:val="003960A9"/>
    <w:rsid w:val="0039685D"/>
    <w:rsid w:val="003A0876"/>
    <w:rsid w:val="003A1AE9"/>
    <w:rsid w:val="003A394A"/>
    <w:rsid w:val="003A55AA"/>
    <w:rsid w:val="003A600B"/>
    <w:rsid w:val="003B15B3"/>
    <w:rsid w:val="003B3C8C"/>
    <w:rsid w:val="003B7F5E"/>
    <w:rsid w:val="003C0C63"/>
    <w:rsid w:val="003C1535"/>
    <w:rsid w:val="003C1D28"/>
    <w:rsid w:val="003C590C"/>
    <w:rsid w:val="003C6E60"/>
    <w:rsid w:val="003D3850"/>
    <w:rsid w:val="003D4C0F"/>
    <w:rsid w:val="003D6179"/>
    <w:rsid w:val="003D6CF9"/>
    <w:rsid w:val="003E6A37"/>
    <w:rsid w:val="003E6FF6"/>
    <w:rsid w:val="003E7091"/>
    <w:rsid w:val="003F4352"/>
    <w:rsid w:val="003F6206"/>
    <w:rsid w:val="00400DA3"/>
    <w:rsid w:val="00403214"/>
    <w:rsid w:val="00406554"/>
    <w:rsid w:val="00406B63"/>
    <w:rsid w:val="0041342F"/>
    <w:rsid w:val="00414D6C"/>
    <w:rsid w:val="0042004D"/>
    <w:rsid w:val="00423D4C"/>
    <w:rsid w:val="00424C33"/>
    <w:rsid w:val="00425F49"/>
    <w:rsid w:val="0043147C"/>
    <w:rsid w:val="004327F9"/>
    <w:rsid w:val="00432C56"/>
    <w:rsid w:val="00434B48"/>
    <w:rsid w:val="0043519E"/>
    <w:rsid w:val="00437C13"/>
    <w:rsid w:val="004425AA"/>
    <w:rsid w:val="004443B1"/>
    <w:rsid w:val="00447F20"/>
    <w:rsid w:val="00450B44"/>
    <w:rsid w:val="00451CD2"/>
    <w:rsid w:val="004569F0"/>
    <w:rsid w:val="00462C7D"/>
    <w:rsid w:val="0047136B"/>
    <w:rsid w:val="00471CF5"/>
    <w:rsid w:val="004734C6"/>
    <w:rsid w:val="0047546F"/>
    <w:rsid w:val="00476E0F"/>
    <w:rsid w:val="00480894"/>
    <w:rsid w:val="004821D5"/>
    <w:rsid w:val="004828BD"/>
    <w:rsid w:val="00485F32"/>
    <w:rsid w:val="00485F3C"/>
    <w:rsid w:val="004920FE"/>
    <w:rsid w:val="00494F9E"/>
    <w:rsid w:val="00495C3C"/>
    <w:rsid w:val="00497D7F"/>
    <w:rsid w:val="004A364D"/>
    <w:rsid w:val="004A4A91"/>
    <w:rsid w:val="004B0E38"/>
    <w:rsid w:val="004B1134"/>
    <w:rsid w:val="004B19DC"/>
    <w:rsid w:val="004B476E"/>
    <w:rsid w:val="004C0170"/>
    <w:rsid w:val="004C2BA9"/>
    <w:rsid w:val="004C4FA0"/>
    <w:rsid w:val="004D2F6D"/>
    <w:rsid w:val="004D3666"/>
    <w:rsid w:val="004D3B15"/>
    <w:rsid w:val="004D6018"/>
    <w:rsid w:val="004E1AF1"/>
    <w:rsid w:val="004E2E58"/>
    <w:rsid w:val="004F70BE"/>
    <w:rsid w:val="004F7C3E"/>
    <w:rsid w:val="004F7D7F"/>
    <w:rsid w:val="00500867"/>
    <w:rsid w:val="005025E2"/>
    <w:rsid w:val="00503C3F"/>
    <w:rsid w:val="00505173"/>
    <w:rsid w:val="00506559"/>
    <w:rsid w:val="00511F1F"/>
    <w:rsid w:val="00513F3F"/>
    <w:rsid w:val="00514F43"/>
    <w:rsid w:val="00525928"/>
    <w:rsid w:val="0052660B"/>
    <w:rsid w:val="005277B0"/>
    <w:rsid w:val="005278B9"/>
    <w:rsid w:val="00532797"/>
    <w:rsid w:val="00537453"/>
    <w:rsid w:val="005448E2"/>
    <w:rsid w:val="005514D6"/>
    <w:rsid w:val="005542AE"/>
    <w:rsid w:val="005546F7"/>
    <w:rsid w:val="005571DD"/>
    <w:rsid w:val="00557883"/>
    <w:rsid w:val="0056006B"/>
    <w:rsid w:val="00560418"/>
    <w:rsid w:val="005615B2"/>
    <w:rsid w:val="00561F01"/>
    <w:rsid w:val="005629EC"/>
    <w:rsid w:val="0056794B"/>
    <w:rsid w:val="005705D9"/>
    <w:rsid w:val="00573438"/>
    <w:rsid w:val="00575EAE"/>
    <w:rsid w:val="00577878"/>
    <w:rsid w:val="00577F91"/>
    <w:rsid w:val="00583F4D"/>
    <w:rsid w:val="00593668"/>
    <w:rsid w:val="00596274"/>
    <w:rsid w:val="005965D9"/>
    <w:rsid w:val="00597129"/>
    <w:rsid w:val="00597403"/>
    <w:rsid w:val="005A12AA"/>
    <w:rsid w:val="005A4C97"/>
    <w:rsid w:val="005B0309"/>
    <w:rsid w:val="005B2BB6"/>
    <w:rsid w:val="005C3891"/>
    <w:rsid w:val="005C655F"/>
    <w:rsid w:val="005C7694"/>
    <w:rsid w:val="005D707D"/>
    <w:rsid w:val="005D758F"/>
    <w:rsid w:val="005E0002"/>
    <w:rsid w:val="005E23A9"/>
    <w:rsid w:val="005E47D8"/>
    <w:rsid w:val="005E72F9"/>
    <w:rsid w:val="005F2B68"/>
    <w:rsid w:val="005F2C8B"/>
    <w:rsid w:val="005F2EF4"/>
    <w:rsid w:val="005F3544"/>
    <w:rsid w:val="005F4A2E"/>
    <w:rsid w:val="005F5C25"/>
    <w:rsid w:val="005F7F2F"/>
    <w:rsid w:val="006040C9"/>
    <w:rsid w:val="00615E96"/>
    <w:rsid w:val="00621E8D"/>
    <w:rsid w:val="00622DA6"/>
    <w:rsid w:val="00625207"/>
    <w:rsid w:val="00627F54"/>
    <w:rsid w:val="00627F8E"/>
    <w:rsid w:val="00630913"/>
    <w:rsid w:val="006321F8"/>
    <w:rsid w:val="00634737"/>
    <w:rsid w:val="00645438"/>
    <w:rsid w:val="0064545C"/>
    <w:rsid w:val="006517EF"/>
    <w:rsid w:val="00654716"/>
    <w:rsid w:val="00655981"/>
    <w:rsid w:val="00660307"/>
    <w:rsid w:val="0066030B"/>
    <w:rsid w:val="00662C3D"/>
    <w:rsid w:val="00664A49"/>
    <w:rsid w:val="00664F8A"/>
    <w:rsid w:val="006653FF"/>
    <w:rsid w:val="00682B8C"/>
    <w:rsid w:val="0068642E"/>
    <w:rsid w:val="00690193"/>
    <w:rsid w:val="00690A65"/>
    <w:rsid w:val="00695E7F"/>
    <w:rsid w:val="00696683"/>
    <w:rsid w:val="00697181"/>
    <w:rsid w:val="006A1A88"/>
    <w:rsid w:val="006A209D"/>
    <w:rsid w:val="006A33FB"/>
    <w:rsid w:val="006A3D76"/>
    <w:rsid w:val="006A42CA"/>
    <w:rsid w:val="006A42F3"/>
    <w:rsid w:val="006B0AD3"/>
    <w:rsid w:val="006B0D54"/>
    <w:rsid w:val="006B17EA"/>
    <w:rsid w:val="006B36FE"/>
    <w:rsid w:val="006B3BB3"/>
    <w:rsid w:val="006B3DD7"/>
    <w:rsid w:val="006B5429"/>
    <w:rsid w:val="006B70BC"/>
    <w:rsid w:val="006B7731"/>
    <w:rsid w:val="006B7A81"/>
    <w:rsid w:val="006B7C0B"/>
    <w:rsid w:val="006B7C7F"/>
    <w:rsid w:val="006C09FB"/>
    <w:rsid w:val="006C0E5A"/>
    <w:rsid w:val="006C1DF2"/>
    <w:rsid w:val="006C4A53"/>
    <w:rsid w:val="006C52D1"/>
    <w:rsid w:val="006C61EC"/>
    <w:rsid w:val="006C7A4E"/>
    <w:rsid w:val="006C7AA6"/>
    <w:rsid w:val="006D1E2F"/>
    <w:rsid w:val="006D4E45"/>
    <w:rsid w:val="006D660D"/>
    <w:rsid w:val="006E5F6B"/>
    <w:rsid w:val="006E7768"/>
    <w:rsid w:val="006F0634"/>
    <w:rsid w:val="006F07A6"/>
    <w:rsid w:val="006F09BC"/>
    <w:rsid w:val="006F1A88"/>
    <w:rsid w:val="006F3B5F"/>
    <w:rsid w:val="006F5E09"/>
    <w:rsid w:val="006F7927"/>
    <w:rsid w:val="006F7A67"/>
    <w:rsid w:val="007015E2"/>
    <w:rsid w:val="0070167F"/>
    <w:rsid w:val="00701CA4"/>
    <w:rsid w:val="0070384D"/>
    <w:rsid w:val="00710567"/>
    <w:rsid w:val="007139AD"/>
    <w:rsid w:val="00715CBC"/>
    <w:rsid w:val="00716056"/>
    <w:rsid w:val="00721BC2"/>
    <w:rsid w:val="0072341D"/>
    <w:rsid w:val="00724CCE"/>
    <w:rsid w:val="00725FCB"/>
    <w:rsid w:val="0073045F"/>
    <w:rsid w:val="007436AC"/>
    <w:rsid w:val="007445B9"/>
    <w:rsid w:val="007551B4"/>
    <w:rsid w:val="00761978"/>
    <w:rsid w:val="00762693"/>
    <w:rsid w:val="00765944"/>
    <w:rsid w:val="00771804"/>
    <w:rsid w:val="007741FA"/>
    <w:rsid w:val="00776F1A"/>
    <w:rsid w:val="0078487F"/>
    <w:rsid w:val="00785C4D"/>
    <w:rsid w:val="00785CAF"/>
    <w:rsid w:val="00787E27"/>
    <w:rsid w:val="00787E91"/>
    <w:rsid w:val="00790196"/>
    <w:rsid w:val="00790A9E"/>
    <w:rsid w:val="00790B26"/>
    <w:rsid w:val="007920BE"/>
    <w:rsid w:val="00792335"/>
    <w:rsid w:val="00793494"/>
    <w:rsid w:val="007934C4"/>
    <w:rsid w:val="00794785"/>
    <w:rsid w:val="007A47A7"/>
    <w:rsid w:val="007A53DC"/>
    <w:rsid w:val="007A55F3"/>
    <w:rsid w:val="007B0196"/>
    <w:rsid w:val="007B0328"/>
    <w:rsid w:val="007B1439"/>
    <w:rsid w:val="007B1737"/>
    <w:rsid w:val="007B24D7"/>
    <w:rsid w:val="007B2787"/>
    <w:rsid w:val="007B4ED5"/>
    <w:rsid w:val="007B74FF"/>
    <w:rsid w:val="007C104C"/>
    <w:rsid w:val="007C1E3B"/>
    <w:rsid w:val="007C229B"/>
    <w:rsid w:val="007C7A85"/>
    <w:rsid w:val="007D1540"/>
    <w:rsid w:val="007E11E5"/>
    <w:rsid w:val="007E1486"/>
    <w:rsid w:val="007E2664"/>
    <w:rsid w:val="007E2CB6"/>
    <w:rsid w:val="007E2DAB"/>
    <w:rsid w:val="007E711A"/>
    <w:rsid w:val="007E75F4"/>
    <w:rsid w:val="007F6CBD"/>
    <w:rsid w:val="007F795B"/>
    <w:rsid w:val="00811EA4"/>
    <w:rsid w:val="00812380"/>
    <w:rsid w:val="008123FB"/>
    <w:rsid w:val="0082351C"/>
    <w:rsid w:val="0082629A"/>
    <w:rsid w:val="00827EC8"/>
    <w:rsid w:val="0083125F"/>
    <w:rsid w:val="00832451"/>
    <w:rsid w:val="00832E25"/>
    <w:rsid w:val="00833BA4"/>
    <w:rsid w:val="00834475"/>
    <w:rsid w:val="0083496C"/>
    <w:rsid w:val="0083530E"/>
    <w:rsid w:val="00835355"/>
    <w:rsid w:val="00835983"/>
    <w:rsid w:val="008370FB"/>
    <w:rsid w:val="00840224"/>
    <w:rsid w:val="00841C37"/>
    <w:rsid w:val="0084362D"/>
    <w:rsid w:val="0085012C"/>
    <w:rsid w:val="008517F8"/>
    <w:rsid w:val="00860EBD"/>
    <w:rsid w:val="00860EF1"/>
    <w:rsid w:val="008650A2"/>
    <w:rsid w:val="008665C8"/>
    <w:rsid w:val="0087011A"/>
    <w:rsid w:val="00872C71"/>
    <w:rsid w:val="00875441"/>
    <w:rsid w:val="008818F8"/>
    <w:rsid w:val="00883BE1"/>
    <w:rsid w:val="0088501A"/>
    <w:rsid w:val="0089124A"/>
    <w:rsid w:val="00891CC1"/>
    <w:rsid w:val="008A1574"/>
    <w:rsid w:val="008A2955"/>
    <w:rsid w:val="008A5B66"/>
    <w:rsid w:val="008B070F"/>
    <w:rsid w:val="008B16CF"/>
    <w:rsid w:val="008B4F91"/>
    <w:rsid w:val="008C1FE4"/>
    <w:rsid w:val="008C3C47"/>
    <w:rsid w:val="008C4F0C"/>
    <w:rsid w:val="008D0755"/>
    <w:rsid w:val="008D2883"/>
    <w:rsid w:val="008D5076"/>
    <w:rsid w:val="008D65BF"/>
    <w:rsid w:val="008D738C"/>
    <w:rsid w:val="008D73F9"/>
    <w:rsid w:val="008E5098"/>
    <w:rsid w:val="008E658B"/>
    <w:rsid w:val="008E75D7"/>
    <w:rsid w:val="008F023B"/>
    <w:rsid w:val="008F1392"/>
    <w:rsid w:val="008F3F48"/>
    <w:rsid w:val="009030A6"/>
    <w:rsid w:val="00905DD1"/>
    <w:rsid w:val="00907EE1"/>
    <w:rsid w:val="0091243B"/>
    <w:rsid w:val="00912982"/>
    <w:rsid w:val="00914E40"/>
    <w:rsid w:val="00927FD0"/>
    <w:rsid w:val="0094097F"/>
    <w:rsid w:val="00940F29"/>
    <w:rsid w:val="0094120F"/>
    <w:rsid w:val="009435D6"/>
    <w:rsid w:val="009454AB"/>
    <w:rsid w:val="00945957"/>
    <w:rsid w:val="00945B97"/>
    <w:rsid w:val="00945BDD"/>
    <w:rsid w:val="009471C0"/>
    <w:rsid w:val="00953A24"/>
    <w:rsid w:val="00953B14"/>
    <w:rsid w:val="00963886"/>
    <w:rsid w:val="00964EBA"/>
    <w:rsid w:val="00966969"/>
    <w:rsid w:val="009702C1"/>
    <w:rsid w:val="00970BB7"/>
    <w:rsid w:val="00975DD8"/>
    <w:rsid w:val="00976AFA"/>
    <w:rsid w:val="00977373"/>
    <w:rsid w:val="009776A0"/>
    <w:rsid w:val="009859DF"/>
    <w:rsid w:val="00990FE2"/>
    <w:rsid w:val="00994187"/>
    <w:rsid w:val="009944A9"/>
    <w:rsid w:val="00994EFD"/>
    <w:rsid w:val="00997598"/>
    <w:rsid w:val="009A2382"/>
    <w:rsid w:val="009A5DAC"/>
    <w:rsid w:val="009B2047"/>
    <w:rsid w:val="009B2753"/>
    <w:rsid w:val="009C00DF"/>
    <w:rsid w:val="009C40B1"/>
    <w:rsid w:val="009D4FAF"/>
    <w:rsid w:val="009E10AA"/>
    <w:rsid w:val="009E2F19"/>
    <w:rsid w:val="009E3F4B"/>
    <w:rsid w:val="009F6FEC"/>
    <w:rsid w:val="009F71AB"/>
    <w:rsid w:val="009F7789"/>
    <w:rsid w:val="009F7A91"/>
    <w:rsid w:val="009F7E22"/>
    <w:rsid w:val="00A00E75"/>
    <w:rsid w:val="00A01251"/>
    <w:rsid w:val="00A03120"/>
    <w:rsid w:val="00A0706A"/>
    <w:rsid w:val="00A12891"/>
    <w:rsid w:val="00A130D5"/>
    <w:rsid w:val="00A14126"/>
    <w:rsid w:val="00A16685"/>
    <w:rsid w:val="00A23FA4"/>
    <w:rsid w:val="00A24145"/>
    <w:rsid w:val="00A24C8E"/>
    <w:rsid w:val="00A25118"/>
    <w:rsid w:val="00A31AAA"/>
    <w:rsid w:val="00A34C74"/>
    <w:rsid w:val="00A35E6E"/>
    <w:rsid w:val="00A40398"/>
    <w:rsid w:val="00A404C6"/>
    <w:rsid w:val="00A42DF3"/>
    <w:rsid w:val="00A473D6"/>
    <w:rsid w:val="00A51ED5"/>
    <w:rsid w:val="00A532E6"/>
    <w:rsid w:val="00A5686C"/>
    <w:rsid w:val="00A60235"/>
    <w:rsid w:val="00A627F0"/>
    <w:rsid w:val="00A63506"/>
    <w:rsid w:val="00A72DD8"/>
    <w:rsid w:val="00A72FED"/>
    <w:rsid w:val="00A7662F"/>
    <w:rsid w:val="00A81523"/>
    <w:rsid w:val="00A83379"/>
    <w:rsid w:val="00A8507B"/>
    <w:rsid w:val="00A85F2F"/>
    <w:rsid w:val="00A906C1"/>
    <w:rsid w:val="00A924D3"/>
    <w:rsid w:val="00A94653"/>
    <w:rsid w:val="00A95241"/>
    <w:rsid w:val="00A95449"/>
    <w:rsid w:val="00A97D90"/>
    <w:rsid w:val="00AA235B"/>
    <w:rsid w:val="00AA2936"/>
    <w:rsid w:val="00AA2EA3"/>
    <w:rsid w:val="00AA5453"/>
    <w:rsid w:val="00AB087B"/>
    <w:rsid w:val="00AB0E8C"/>
    <w:rsid w:val="00AB36D2"/>
    <w:rsid w:val="00AB58B8"/>
    <w:rsid w:val="00AB7487"/>
    <w:rsid w:val="00AC0259"/>
    <w:rsid w:val="00AC1FD6"/>
    <w:rsid w:val="00AC2059"/>
    <w:rsid w:val="00AC2FF1"/>
    <w:rsid w:val="00AC4125"/>
    <w:rsid w:val="00AC46EA"/>
    <w:rsid w:val="00AC4C3D"/>
    <w:rsid w:val="00AC6362"/>
    <w:rsid w:val="00AD3F8C"/>
    <w:rsid w:val="00AD7C68"/>
    <w:rsid w:val="00AE02A5"/>
    <w:rsid w:val="00AE071B"/>
    <w:rsid w:val="00AE448D"/>
    <w:rsid w:val="00AF2255"/>
    <w:rsid w:val="00AF429C"/>
    <w:rsid w:val="00AF55E8"/>
    <w:rsid w:val="00B00D39"/>
    <w:rsid w:val="00B02D64"/>
    <w:rsid w:val="00B0308B"/>
    <w:rsid w:val="00B047E8"/>
    <w:rsid w:val="00B04AB1"/>
    <w:rsid w:val="00B10D31"/>
    <w:rsid w:val="00B10EA4"/>
    <w:rsid w:val="00B1552E"/>
    <w:rsid w:val="00B1735C"/>
    <w:rsid w:val="00B20139"/>
    <w:rsid w:val="00B22EA8"/>
    <w:rsid w:val="00B264B6"/>
    <w:rsid w:val="00B305AF"/>
    <w:rsid w:val="00B31D7E"/>
    <w:rsid w:val="00B32EE1"/>
    <w:rsid w:val="00B33148"/>
    <w:rsid w:val="00B348EB"/>
    <w:rsid w:val="00B35464"/>
    <w:rsid w:val="00B4074F"/>
    <w:rsid w:val="00B42350"/>
    <w:rsid w:val="00B4295F"/>
    <w:rsid w:val="00B435F7"/>
    <w:rsid w:val="00B448D7"/>
    <w:rsid w:val="00B45C0D"/>
    <w:rsid w:val="00B50941"/>
    <w:rsid w:val="00B51469"/>
    <w:rsid w:val="00B516BB"/>
    <w:rsid w:val="00B517FB"/>
    <w:rsid w:val="00B52CE5"/>
    <w:rsid w:val="00B564DE"/>
    <w:rsid w:val="00B56AB7"/>
    <w:rsid w:val="00B57053"/>
    <w:rsid w:val="00B63782"/>
    <w:rsid w:val="00B6398A"/>
    <w:rsid w:val="00B673AE"/>
    <w:rsid w:val="00B67671"/>
    <w:rsid w:val="00B67CBD"/>
    <w:rsid w:val="00B70F52"/>
    <w:rsid w:val="00B7632E"/>
    <w:rsid w:val="00B76942"/>
    <w:rsid w:val="00B80695"/>
    <w:rsid w:val="00B82149"/>
    <w:rsid w:val="00B83C52"/>
    <w:rsid w:val="00B867EF"/>
    <w:rsid w:val="00B925FE"/>
    <w:rsid w:val="00B92DD1"/>
    <w:rsid w:val="00B95C38"/>
    <w:rsid w:val="00B96121"/>
    <w:rsid w:val="00B96BF2"/>
    <w:rsid w:val="00BA0E01"/>
    <w:rsid w:val="00BA263F"/>
    <w:rsid w:val="00BB4950"/>
    <w:rsid w:val="00BB5A4E"/>
    <w:rsid w:val="00BB71D1"/>
    <w:rsid w:val="00BC457D"/>
    <w:rsid w:val="00BC5AC0"/>
    <w:rsid w:val="00BC642E"/>
    <w:rsid w:val="00BD286F"/>
    <w:rsid w:val="00BD2B2B"/>
    <w:rsid w:val="00BD2D54"/>
    <w:rsid w:val="00BE288E"/>
    <w:rsid w:val="00BE42DE"/>
    <w:rsid w:val="00BF099E"/>
    <w:rsid w:val="00BF3175"/>
    <w:rsid w:val="00BF5E7C"/>
    <w:rsid w:val="00BF6F2F"/>
    <w:rsid w:val="00BF7194"/>
    <w:rsid w:val="00BF7FDE"/>
    <w:rsid w:val="00C01DDE"/>
    <w:rsid w:val="00C026DD"/>
    <w:rsid w:val="00C02C58"/>
    <w:rsid w:val="00C02EB2"/>
    <w:rsid w:val="00C05634"/>
    <w:rsid w:val="00C06E80"/>
    <w:rsid w:val="00C10D7E"/>
    <w:rsid w:val="00C116E7"/>
    <w:rsid w:val="00C1424A"/>
    <w:rsid w:val="00C15DEA"/>
    <w:rsid w:val="00C20098"/>
    <w:rsid w:val="00C21C96"/>
    <w:rsid w:val="00C239B5"/>
    <w:rsid w:val="00C274B3"/>
    <w:rsid w:val="00C31228"/>
    <w:rsid w:val="00C32075"/>
    <w:rsid w:val="00C32E7C"/>
    <w:rsid w:val="00C3787C"/>
    <w:rsid w:val="00C41EEA"/>
    <w:rsid w:val="00C4304E"/>
    <w:rsid w:val="00C43D16"/>
    <w:rsid w:val="00C514A8"/>
    <w:rsid w:val="00C51DD9"/>
    <w:rsid w:val="00C531FA"/>
    <w:rsid w:val="00C602DB"/>
    <w:rsid w:val="00C62F35"/>
    <w:rsid w:val="00C639CC"/>
    <w:rsid w:val="00C64DC7"/>
    <w:rsid w:val="00C66FF0"/>
    <w:rsid w:val="00C700DA"/>
    <w:rsid w:val="00C7037C"/>
    <w:rsid w:val="00C72785"/>
    <w:rsid w:val="00C803BB"/>
    <w:rsid w:val="00C805C3"/>
    <w:rsid w:val="00C81E9E"/>
    <w:rsid w:val="00C83C27"/>
    <w:rsid w:val="00C8510B"/>
    <w:rsid w:val="00C91A5E"/>
    <w:rsid w:val="00C92EC5"/>
    <w:rsid w:val="00CA0E3E"/>
    <w:rsid w:val="00CA12D0"/>
    <w:rsid w:val="00CA4911"/>
    <w:rsid w:val="00CB0487"/>
    <w:rsid w:val="00CB6F7B"/>
    <w:rsid w:val="00CB7694"/>
    <w:rsid w:val="00CC083A"/>
    <w:rsid w:val="00CC2013"/>
    <w:rsid w:val="00CC4EF3"/>
    <w:rsid w:val="00CC5940"/>
    <w:rsid w:val="00CD3803"/>
    <w:rsid w:val="00CE300A"/>
    <w:rsid w:val="00CE3A82"/>
    <w:rsid w:val="00CE3D9F"/>
    <w:rsid w:val="00CE469F"/>
    <w:rsid w:val="00CE5D47"/>
    <w:rsid w:val="00CF2A36"/>
    <w:rsid w:val="00D0387D"/>
    <w:rsid w:val="00D11F4B"/>
    <w:rsid w:val="00D15CCE"/>
    <w:rsid w:val="00D16E47"/>
    <w:rsid w:val="00D23F99"/>
    <w:rsid w:val="00D24856"/>
    <w:rsid w:val="00D3050F"/>
    <w:rsid w:val="00D331BF"/>
    <w:rsid w:val="00D340B7"/>
    <w:rsid w:val="00D37F61"/>
    <w:rsid w:val="00D419AA"/>
    <w:rsid w:val="00D449C3"/>
    <w:rsid w:val="00D469E6"/>
    <w:rsid w:val="00D46A74"/>
    <w:rsid w:val="00D46E3D"/>
    <w:rsid w:val="00D477FD"/>
    <w:rsid w:val="00D54D2F"/>
    <w:rsid w:val="00D55FD1"/>
    <w:rsid w:val="00D601D5"/>
    <w:rsid w:val="00D607DE"/>
    <w:rsid w:val="00D6089F"/>
    <w:rsid w:val="00D62687"/>
    <w:rsid w:val="00D6397B"/>
    <w:rsid w:val="00D70821"/>
    <w:rsid w:val="00D735A3"/>
    <w:rsid w:val="00D73EB2"/>
    <w:rsid w:val="00D77196"/>
    <w:rsid w:val="00D81D57"/>
    <w:rsid w:val="00D81E45"/>
    <w:rsid w:val="00D82AE9"/>
    <w:rsid w:val="00D8609D"/>
    <w:rsid w:val="00D8635E"/>
    <w:rsid w:val="00D92B9F"/>
    <w:rsid w:val="00D9338F"/>
    <w:rsid w:val="00D972E4"/>
    <w:rsid w:val="00DA09DA"/>
    <w:rsid w:val="00DA1340"/>
    <w:rsid w:val="00DA663E"/>
    <w:rsid w:val="00DB6A11"/>
    <w:rsid w:val="00DC41D3"/>
    <w:rsid w:val="00DC4334"/>
    <w:rsid w:val="00DD1C7E"/>
    <w:rsid w:val="00DD2069"/>
    <w:rsid w:val="00DD579A"/>
    <w:rsid w:val="00DD764B"/>
    <w:rsid w:val="00DE1353"/>
    <w:rsid w:val="00DE2791"/>
    <w:rsid w:val="00DE764E"/>
    <w:rsid w:val="00DF76FD"/>
    <w:rsid w:val="00E028DA"/>
    <w:rsid w:val="00E044CD"/>
    <w:rsid w:val="00E04C97"/>
    <w:rsid w:val="00E10433"/>
    <w:rsid w:val="00E1452E"/>
    <w:rsid w:val="00E170A7"/>
    <w:rsid w:val="00E200C8"/>
    <w:rsid w:val="00E2026A"/>
    <w:rsid w:val="00E23949"/>
    <w:rsid w:val="00E278A9"/>
    <w:rsid w:val="00E27A8E"/>
    <w:rsid w:val="00E30FCF"/>
    <w:rsid w:val="00E32686"/>
    <w:rsid w:val="00E3415F"/>
    <w:rsid w:val="00E34D3A"/>
    <w:rsid w:val="00E359C6"/>
    <w:rsid w:val="00E402A4"/>
    <w:rsid w:val="00E4282A"/>
    <w:rsid w:val="00E450CC"/>
    <w:rsid w:val="00E45CAD"/>
    <w:rsid w:val="00E5000E"/>
    <w:rsid w:val="00E50CA6"/>
    <w:rsid w:val="00E526D9"/>
    <w:rsid w:val="00E52FBF"/>
    <w:rsid w:val="00E5487C"/>
    <w:rsid w:val="00E565DB"/>
    <w:rsid w:val="00E5769C"/>
    <w:rsid w:val="00E63E7F"/>
    <w:rsid w:val="00E65CBE"/>
    <w:rsid w:val="00E662A3"/>
    <w:rsid w:val="00E66C2B"/>
    <w:rsid w:val="00E706B3"/>
    <w:rsid w:val="00E729E5"/>
    <w:rsid w:val="00E7469B"/>
    <w:rsid w:val="00E76463"/>
    <w:rsid w:val="00E779DE"/>
    <w:rsid w:val="00E77C39"/>
    <w:rsid w:val="00E83A0D"/>
    <w:rsid w:val="00E8431D"/>
    <w:rsid w:val="00E85525"/>
    <w:rsid w:val="00E8559F"/>
    <w:rsid w:val="00E91347"/>
    <w:rsid w:val="00E92B4B"/>
    <w:rsid w:val="00E932EF"/>
    <w:rsid w:val="00E948CB"/>
    <w:rsid w:val="00E96C9C"/>
    <w:rsid w:val="00EA0485"/>
    <w:rsid w:val="00EA1C01"/>
    <w:rsid w:val="00EA392D"/>
    <w:rsid w:val="00EA5C83"/>
    <w:rsid w:val="00EB31E9"/>
    <w:rsid w:val="00EB39D9"/>
    <w:rsid w:val="00EB3F39"/>
    <w:rsid w:val="00EB76F2"/>
    <w:rsid w:val="00EB7987"/>
    <w:rsid w:val="00EC1235"/>
    <w:rsid w:val="00EC2B5A"/>
    <w:rsid w:val="00EC32B4"/>
    <w:rsid w:val="00EC4556"/>
    <w:rsid w:val="00EC5438"/>
    <w:rsid w:val="00EC6555"/>
    <w:rsid w:val="00ED44BA"/>
    <w:rsid w:val="00ED6D1B"/>
    <w:rsid w:val="00EE18A1"/>
    <w:rsid w:val="00EE2600"/>
    <w:rsid w:val="00EE6313"/>
    <w:rsid w:val="00EF1CDB"/>
    <w:rsid w:val="00F1124C"/>
    <w:rsid w:val="00F12387"/>
    <w:rsid w:val="00F135F8"/>
    <w:rsid w:val="00F165E4"/>
    <w:rsid w:val="00F209C9"/>
    <w:rsid w:val="00F22D4F"/>
    <w:rsid w:val="00F22F96"/>
    <w:rsid w:val="00F235C1"/>
    <w:rsid w:val="00F30024"/>
    <w:rsid w:val="00F305A3"/>
    <w:rsid w:val="00F3321A"/>
    <w:rsid w:val="00F33A68"/>
    <w:rsid w:val="00F34F1C"/>
    <w:rsid w:val="00F452AA"/>
    <w:rsid w:val="00F45A4D"/>
    <w:rsid w:val="00F47FC4"/>
    <w:rsid w:val="00F51AEB"/>
    <w:rsid w:val="00F53125"/>
    <w:rsid w:val="00F5649D"/>
    <w:rsid w:val="00F56FE8"/>
    <w:rsid w:val="00F60FD4"/>
    <w:rsid w:val="00F64657"/>
    <w:rsid w:val="00F71F99"/>
    <w:rsid w:val="00F75032"/>
    <w:rsid w:val="00F7795D"/>
    <w:rsid w:val="00F810BB"/>
    <w:rsid w:val="00F814AD"/>
    <w:rsid w:val="00F82F59"/>
    <w:rsid w:val="00F90371"/>
    <w:rsid w:val="00F90506"/>
    <w:rsid w:val="00FA6899"/>
    <w:rsid w:val="00FB774B"/>
    <w:rsid w:val="00FC2467"/>
    <w:rsid w:val="00FC6D8F"/>
    <w:rsid w:val="00FC7AD6"/>
    <w:rsid w:val="00FD36F1"/>
    <w:rsid w:val="00FE1A9B"/>
    <w:rsid w:val="00FE269F"/>
    <w:rsid w:val="00FE2BB4"/>
    <w:rsid w:val="00FE4A81"/>
    <w:rsid w:val="00FE5DDB"/>
    <w:rsid w:val="00FF04DD"/>
    <w:rsid w:val="00FF079D"/>
    <w:rsid w:val="00FF267E"/>
    <w:rsid w:val="00FF3F5F"/>
    <w:rsid w:val="00FF3F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3AA4F"/>
  <w15:docId w15:val="{02C94166-8689-4493-8C8F-47208195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3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80" w:lineRule="exact"/>
      <w:jc w:val="both"/>
    </w:pPr>
    <w:rPr>
      <w:rFonts w:ascii="Arial" w:hAnsi="Arial"/>
      <w:sz w:val="21"/>
      <w:szCs w:val="22"/>
      <w:lang w:eastAsia="en-US"/>
    </w:rPr>
  </w:style>
  <w:style w:type="paragraph" w:styleId="Overskrift1">
    <w:name w:val="heading 1"/>
    <w:basedOn w:val="Normal"/>
    <w:next w:val="Normal"/>
    <w:link w:val="Overskrift1Tegn"/>
    <w:qFormat/>
    <w:rsid w:val="00D0387D"/>
    <w:pPr>
      <w:keepNext/>
      <w:spacing w:line="440" w:lineRule="exact"/>
      <w:outlineLvl w:val="0"/>
    </w:pPr>
    <w:rPr>
      <w:rFonts w:ascii="Constantia" w:eastAsiaTheme="majorEastAsia" w:hAnsi="Constantia" w:cstheme="majorBidi"/>
      <w:b/>
      <w:bCs/>
      <w:color w:val="990000"/>
      <w:kern w:val="32"/>
      <w:sz w:val="32"/>
      <w:szCs w:val="32"/>
    </w:rPr>
  </w:style>
  <w:style w:type="paragraph" w:styleId="Overskrift2">
    <w:name w:val="heading 2"/>
    <w:basedOn w:val="Normal"/>
    <w:next w:val="Normal"/>
    <w:link w:val="Overskrift2Tegn"/>
    <w:qFormat/>
    <w:rsid w:val="00D0387D"/>
    <w:pPr>
      <w:keepNext/>
      <w:spacing w:line="300" w:lineRule="exact"/>
      <w:outlineLvl w:val="1"/>
    </w:pPr>
    <w:rPr>
      <w:rFonts w:ascii="Constantia" w:eastAsiaTheme="majorEastAsia" w:hAnsi="Constantia" w:cstheme="majorBidi"/>
      <w:b/>
      <w:bCs/>
      <w:iCs/>
      <w:sz w:val="22"/>
      <w:szCs w:val="28"/>
    </w:rPr>
  </w:style>
  <w:style w:type="paragraph" w:styleId="Overskrift3">
    <w:name w:val="heading 3"/>
    <w:basedOn w:val="Normal"/>
    <w:next w:val="Normal"/>
    <w:link w:val="Overskrift3Tegn"/>
    <w:qFormat/>
    <w:rsid w:val="00E5769C"/>
    <w:pPr>
      <w:keepNext/>
      <w:keepLines/>
      <w:outlineLvl w:val="2"/>
    </w:pPr>
    <w:rPr>
      <w:rFonts w:ascii="Constantia" w:eastAsiaTheme="majorEastAsia" w:hAnsi="Constantia" w:cstheme="majorBidi"/>
      <w:bCs/>
      <w:i/>
      <w:color w:val="000000" w:themeColor="text1"/>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84C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AC2F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2FF1"/>
  </w:style>
  <w:style w:type="paragraph" w:styleId="Sidefod">
    <w:name w:val="footer"/>
    <w:basedOn w:val="Normal"/>
    <w:link w:val="SidefodTegn"/>
    <w:uiPriority w:val="4"/>
    <w:unhideWhenUsed/>
    <w:rsid w:val="003960A9"/>
    <w:pPr>
      <w:tabs>
        <w:tab w:val="center" w:pos="4819"/>
        <w:tab w:val="right" w:pos="9638"/>
      </w:tabs>
      <w:spacing w:line="360" w:lineRule="auto"/>
    </w:pPr>
    <w:rPr>
      <w:sz w:val="16"/>
    </w:rPr>
  </w:style>
  <w:style w:type="character" w:customStyle="1" w:styleId="SidefodTegn">
    <w:name w:val="Sidefod Tegn"/>
    <w:basedOn w:val="Standardskrifttypeiafsnit"/>
    <w:link w:val="Sidefod"/>
    <w:uiPriority w:val="4"/>
    <w:rsid w:val="00380858"/>
    <w:rPr>
      <w:rFonts w:ascii="Arial" w:hAnsi="Arial"/>
      <w:sz w:val="16"/>
      <w:szCs w:val="22"/>
      <w:lang w:eastAsia="en-US"/>
    </w:rPr>
  </w:style>
  <w:style w:type="paragraph" w:styleId="Markeringsbobletekst">
    <w:name w:val="Balloon Text"/>
    <w:basedOn w:val="Normal"/>
    <w:link w:val="MarkeringsbobletekstTegn"/>
    <w:uiPriority w:val="99"/>
    <w:semiHidden/>
    <w:unhideWhenUsed/>
    <w:rsid w:val="00AC2FF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2FF1"/>
    <w:rPr>
      <w:rFonts w:ascii="Tahoma" w:hAnsi="Tahoma" w:cs="Tahoma"/>
      <w:sz w:val="16"/>
      <w:szCs w:val="16"/>
    </w:rPr>
  </w:style>
  <w:style w:type="character" w:customStyle="1" w:styleId="Overskrift1Tegn">
    <w:name w:val="Overskrift 1 Tegn"/>
    <w:basedOn w:val="Standardskrifttypeiafsnit"/>
    <w:link w:val="Overskrift1"/>
    <w:rsid w:val="00D0387D"/>
    <w:rPr>
      <w:rFonts w:ascii="Constantia" w:eastAsiaTheme="majorEastAsia" w:hAnsi="Constantia" w:cstheme="majorBidi"/>
      <w:b/>
      <w:bCs/>
      <w:color w:val="990000"/>
      <w:kern w:val="32"/>
      <w:sz w:val="32"/>
      <w:szCs w:val="32"/>
      <w:lang w:eastAsia="en-US"/>
    </w:rPr>
  </w:style>
  <w:style w:type="character" w:customStyle="1" w:styleId="Overskrift2Tegn">
    <w:name w:val="Overskrift 2 Tegn"/>
    <w:basedOn w:val="Standardskrifttypeiafsnit"/>
    <w:link w:val="Overskrift2"/>
    <w:rsid w:val="00B42350"/>
    <w:rPr>
      <w:rFonts w:ascii="Constantia" w:eastAsiaTheme="majorEastAsia" w:hAnsi="Constantia" w:cstheme="majorBidi"/>
      <w:b/>
      <w:bCs/>
      <w:iCs/>
      <w:sz w:val="22"/>
      <w:szCs w:val="28"/>
      <w:lang w:eastAsia="en-US"/>
    </w:rPr>
  </w:style>
  <w:style w:type="paragraph" w:styleId="Listeafsnit">
    <w:name w:val="List Paragraph"/>
    <w:basedOn w:val="Normal"/>
    <w:uiPriority w:val="34"/>
    <w:qFormat/>
    <w:rsid w:val="003960A9"/>
    <w:pPr>
      <w:numPr>
        <w:numId w:val="5"/>
      </w:numPr>
    </w:pPr>
  </w:style>
  <w:style w:type="character" w:styleId="Pladsholdertekst">
    <w:name w:val="Placeholder Text"/>
    <w:basedOn w:val="Standardskrifttypeiafsnit"/>
    <w:uiPriority w:val="99"/>
    <w:semiHidden/>
    <w:rsid w:val="006040C9"/>
    <w:rPr>
      <w:color w:val="808080"/>
    </w:rPr>
  </w:style>
  <w:style w:type="paragraph" w:customStyle="1" w:styleId="Underoverskrift">
    <w:name w:val="Underoverskrift"/>
    <w:basedOn w:val="Overskrift1"/>
    <w:next w:val="Normal"/>
    <w:qFormat/>
    <w:rsid w:val="00621E8D"/>
    <w:pPr>
      <w:numPr>
        <w:numId w:val="7"/>
      </w:numPr>
      <w:spacing w:line="300" w:lineRule="exact"/>
      <w:ind w:left="425" w:hanging="425"/>
    </w:pPr>
    <w:rPr>
      <w:rFonts w:cs="Arial"/>
      <w:color w:val="auto"/>
      <w:sz w:val="22"/>
      <w:szCs w:val="21"/>
    </w:rPr>
  </w:style>
  <w:style w:type="paragraph" w:styleId="Fodnotetekst">
    <w:name w:val="footnote text"/>
    <w:basedOn w:val="Normal"/>
    <w:link w:val="FodnotetekstTegn"/>
    <w:uiPriority w:val="99"/>
    <w:qFormat/>
    <w:rsid w:val="00DD579A"/>
    <w:pPr>
      <w:spacing w:line="240" w:lineRule="auto"/>
    </w:pPr>
    <w:rPr>
      <w:sz w:val="16"/>
      <w:szCs w:val="20"/>
    </w:rPr>
  </w:style>
  <w:style w:type="character" w:customStyle="1" w:styleId="FodnotetekstTegn">
    <w:name w:val="Fodnotetekst Tegn"/>
    <w:basedOn w:val="Standardskrifttypeiafsnit"/>
    <w:link w:val="Fodnotetekst"/>
    <w:uiPriority w:val="99"/>
    <w:rsid w:val="00B42350"/>
    <w:rPr>
      <w:rFonts w:ascii="Arial" w:hAnsi="Arial"/>
      <w:sz w:val="16"/>
      <w:lang w:eastAsia="en-US"/>
    </w:rPr>
  </w:style>
  <w:style w:type="character" w:styleId="Fodnotehenvisning">
    <w:name w:val="footnote reference"/>
    <w:basedOn w:val="Standardskrifttypeiafsnit"/>
    <w:uiPriority w:val="99"/>
    <w:semiHidden/>
    <w:unhideWhenUsed/>
    <w:rsid w:val="00DD579A"/>
    <w:rPr>
      <w:vertAlign w:val="superscript"/>
    </w:rPr>
  </w:style>
  <w:style w:type="paragraph" w:customStyle="1" w:styleId="ListeTal">
    <w:name w:val="ListeTal"/>
    <w:basedOn w:val="Normal"/>
    <w:uiPriority w:val="3"/>
    <w:qFormat/>
    <w:rsid w:val="00380858"/>
    <w:pPr>
      <w:numPr>
        <w:numId w:val="8"/>
      </w:numPr>
      <w:ind w:left="426" w:hanging="426"/>
    </w:pPr>
    <w:rPr>
      <w:rFonts w:cs="Arial"/>
      <w:szCs w:val="21"/>
    </w:rPr>
  </w:style>
  <w:style w:type="paragraph" w:customStyle="1" w:styleId="ListeBogstaver">
    <w:name w:val="ListeBogstaver"/>
    <w:basedOn w:val="Normal"/>
    <w:uiPriority w:val="3"/>
    <w:qFormat/>
    <w:rsid w:val="008650A2"/>
    <w:pPr>
      <w:numPr>
        <w:numId w:val="9"/>
      </w:numPr>
      <w:ind w:left="425" w:hanging="425"/>
    </w:pPr>
  </w:style>
  <w:style w:type="character" w:customStyle="1" w:styleId="Overskrift3Tegn">
    <w:name w:val="Overskrift 3 Tegn"/>
    <w:basedOn w:val="Standardskrifttypeiafsnit"/>
    <w:link w:val="Overskrift3"/>
    <w:rsid w:val="00E5769C"/>
    <w:rPr>
      <w:rFonts w:ascii="Constantia" w:eastAsiaTheme="majorEastAsia" w:hAnsi="Constantia" w:cstheme="majorBidi"/>
      <w:bCs/>
      <w:i/>
      <w:color w:val="000000" w:themeColor="text1"/>
      <w:sz w:val="22"/>
      <w:szCs w:val="22"/>
      <w:lang w:eastAsia="en-US"/>
    </w:rPr>
  </w:style>
  <w:style w:type="character" w:styleId="Hyperlink">
    <w:name w:val="Hyperlink"/>
    <w:basedOn w:val="Standardskrifttypeiafsnit"/>
    <w:uiPriority w:val="99"/>
    <w:unhideWhenUsed/>
    <w:rsid w:val="00E5769C"/>
    <w:rPr>
      <w:color w:val="990000" w:themeColor="hyperlink"/>
      <w:u w:val="single"/>
    </w:rPr>
  </w:style>
  <w:style w:type="paragraph" w:styleId="Billedtekst">
    <w:name w:val="caption"/>
    <w:basedOn w:val="Overskrift2"/>
    <w:next w:val="Normal"/>
    <w:uiPriority w:val="35"/>
    <w:unhideWhenUsed/>
    <w:qFormat/>
    <w:rsid w:val="00C02EB2"/>
    <w:rPr>
      <w:bCs w:val="0"/>
      <w:szCs w:val="18"/>
    </w:rPr>
  </w:style>
  <w:style w:type="paragraph" w:styleId="Indholdsfortegnelse1">
    <w:name w:val="toc 1"/>
    <w:basedOn w:val="Normal"/>
    <w:next w:val="Normal"/>
    <w:autoRedefine/>
    <w:uiPriority w:val="39"/>
    <w:unhideWhenUsed/>
    <w:qFormat/>
    <w:rsid w:val="003A600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pPr>
    <w:rPr>
      <w:noProof/>
    </w:rPr>
  </w:style>
  <w:style w:type="paragraph" w:styleId="Indholdsfortegnelse2">
    <w:name w:val="toc 2"/>
    <w:basedOn w:val="Normal"/>
    <w:next w:val="Normal"/>
    <w:autoRedefine/>
    <w:uiPriority w:val="39"/>
    <w:unhideWhenUsed/>
    <w:qFormat/>
    <w:rsid w:val="00F22F9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right" w:leader="dot" w:pos="8495"/>
      </w:tabs>
      <w:spacing w:after="100"/>
      <w:ind w:left="210"/>
    </w:pPr>
    <w:rPr>
      <w:noProof/>
    </w:rPr>
  </w:style>
  <w:style w:type="character" w:styleId="Kommentarhenvisning">
    <w:name w:val="annotation reference"/>
    <w:basedOn w:val="Standardskrifttypeiafsnit"/>
    <w:uiPriority w:val="99"/>
    <w:semiHidden/>
    <w:unhideWhenUsed/>
    <w:rsid w:val="005278B9"/>
    <w:rPr>
      <w:sz w:val="16"/>
      <w:szCs w:val="16"/>
    </w:rPr>
  </w:style>
  <w:style w:type="paragraph" w:styleId="Kommentartekst">
    <w:name w:val="annotation text"/>
    <w:basedOn w:val="Normal"/>
    <w:link w:val="KommentartekstTegn"/>
    <w:uiPriority w:val="99"/>
    <w:unhideWhenUsed/>
    <w:rsid w:val="005278B9"/>
    <w:pPr>
      <w:spacing w:line="240" w:lineRule="auto"/>
    </w:pPr>
    <w:rPr>
      <w:sz w:val="20"/>
      <w:szCs w:val="20"/>
    </w:rPr>
  </w:style>
  <w:style w:type="character" w:customStyle="1" w:styleId="KommentartekstTegn">
    <w:name w:val="Kommentartekst Tegn"/>
    <w:basedOn w:val="Standardskrifttypeiafsnit"/>
    <w:link w:val="Kommentartekst"/>
    <w:uiPriority w:val="99"/>
    <w:rsid w:val="005278B9"/>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5278B9"/>
    <w:rPr>
      <w:b/>
      <w:bCs/>
    </w:rPr>
  </w:style>
  <w:style w:type="character" w:customStyle="1" w:styleId="KommentaremneTegn">
    <w:name w:val="Kommentaremne Tegn"/>
    <w:basedOn w:val="KommentartekstTegn"/>
    <w:link w:val="Kommentaremne"/>
    <w:uiPriority w:val="99"/>
    <w:semiHidden/>
    <w:rsid w:val="005278B9"/>
    <w:rPr>
      <w:rFonts w:ascii="Arial" w:hAnsi="Arial"/>
      <w:b/>
      <w:bCs/>
      <w:lang w:eastAsia="en-US"/>
    </w:rPr>
  </w:style>
  <w:style w:type="paragraph" w:styleId="Brdtekst">
    <w:name w:val="Body Text"/>
    <w:basedOn w:val="Normal"/>
    <w:link w:val="BrdtekstTegn"/>
    <w:uiPriority w:val="99"/>
    <w:rsid w:val="006F5E0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s>
    </w:pPr>
    <w:rPr>
      <w:rFonts w:eastAsia="Times New Roman"/>
      <w:szCs w:val="20"/>
      <w:lang w:eastAsia="da-DK"/>
    </w:rPr>
  </w:style>
  <w:style w:type="character" w:customStyle="1" w:styleId="BrdtekstTegn">
    <w:name w:val="Brødtekst Tegn"/>
    <w:basedOn w:val="Standardskrifttypeiafsnit"/>
    <w:link w:val="Brdtekst"/>
    <w:uiPriority w:val="99"/>
    <w:rsid w:val="006F5E09"/>
    <w:rPr>
      <w:rFonts w:ascii="Arial" w:eastAsia="Times New Roman" w:hAnsi="Arial"/>
      <w:sz w:val="21"/>
    </w:rPr>
  </w:style>
  <w:style w:type="paragraph" w:styleId="Korrektur">
    <w:name w:val="Revision"/>
    <w:hidden/>
    <w:uiPriority w:val="99"/>
    <w:semiHidden/>
    <w:rsid w:val="00793494"/>
    <w:rPr>
      <w:rFonts w:ascii="Arial" w:hAnsi="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0563">
      <w:bodyDiv w:val="1"/>
      <w:marLeft w:val="0"/>
      <w:marRight w:val="0"/>
      <w:marTop w:val="0"/>
      <w:marBottom w:val="0"/>
      <w:divBdr>
        <w:top w:val="none" w:sz="0" w:space="0" w:color="auto"/>
        <w:left w:val="none" w:sz="0" w:space="0" w:color="auto"/>
        <w:bottom w:val="none" w:sz="0" w:space="0" w:color="auto"/>
        <w:right w:val="none" w:sz="0" w:space="0" w:color="auto"/>
      </w:divBdr>
    </w:div>
    <w:div w:id="1349483847">
      <w:bodyDiv w:val="1"/>
      <w:marLeft w:val="0"/>
      <w:marRight w:val="0"/>
      <w:marTop w:val="0"/>
      <w:marBottom w:val="0"/>
      <w:divBdr>
        <w:top w:val="none" w:sz="0" w:space="0" w:color="auto"/>
        <w:left w:val="none" w:sz="0" w:space="0" w:color="auto"/>
        <w:bottom w:val="none" w:sz="0" w:space="0" w:color="auto"/>
        <w:right w:val="none" w:sz="0" w:space="0" w:color="auto"/>
      </w:divBdr>
    </w:div>
    <w:div w:id="1690328535">
      <w:bodyDiv w:val="1"/>
      <w:marLeft w:val="0"/>
      <w:marRight w:val="0"/>
      <w:marTop w:val="0"/>
      <w:marBottom w:val="0"/>
      <w:divBdr>
        <w:top w:val="none" w:sz="0" w:space="0" w:color="auto"/>
        <w:left w:val="none" w:sz="0" w:space="0" w:color="auto"/>
        <w:bottom w:val="none" w:sz="0" w:space="0" w:color="auto"/>
        <w:right w:val="none" w:sz="0" w:space="0" w:color="auto"/>
      </w:divBdr>
    </w:div>
    <w:div w:id="1878228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0.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ethereum.org/en/developers/docs/smart-contracts/" TargetMode="External"/><Relationship Id="rId1" Type="http://schemas.openxmlformats.org/officeDocument/2006/relationships/hyperlink" Target="https://www.bis.org/publ/qtrpdf/r_qt2003i.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Rapport.dotm" TargetMode="Externa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F678-745C-48BD-8C7F-F2DB653A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C:\skabeloner\FT-Skabelon\Rapport.dotm</Template>
  <TotalTime>0</TotalTime>
  <Pages>27</Pages>
  <Words>9318</Words>
  <Characters>56841</Characters>
  <Application>Microsoft Office Word</Application>
  <DocSecurity>0</DocSecurity>
  <Lines>473</Lines>
  <Paragraphs>132</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66027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Navntoft Henningsen (FT)</dc:creator>
  <cp:keywords/>
  <dc:description/>
  <cp:lastModifiedBy>Michael Rasmussen</cp:lastModifiedBy>
  <cp:revision>2</cp:revision>
  <cp:lastPrinted>2010-04-27T08:51:00Z</cp:lastPrinted>
  <dcterms:created xsi:type="dcterms:W3CDTF">2024-06-25T07:14:00Z</dcterms:created>
  <dcterms:modified xsi:type="dcterms:W3CDTF">2024-06-25T07:14:00Z</dcterms:modified>
</cp:coreProperties>
</file>